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F4" w:rsidRPr="00570154" w:rsidRDefault="009B4FF4" w:rsidP="00381A1E">
      <w:pPr>
        <w:spacing w:after="0"/>
        <w:jc w:val="both"/>
        <w:rPr>
          <w:rFonts w:ascii="Verdana" w:hAnsi="Verdana"/>
          <w:i/>
          <w:sz w:val="20"/>
          <w:szCs w:val="20"/>
        </w:rPr>
      </w:pPr>
      <w:r w:rsidRPr="00570154">
        <w:rPr>
          <w:rFonts w:ascii="Verdana" w:hAnsi="Verdana"/>
          <w:i/>
          <w:sz w:val="20"/>
          <w:szCs w:val="20"/>
        </w:rPr>
        <w:t>Załącznik nr 4</w:t>
      </w:r>
      <w:r w:rsidR="008A1DBB" w:rsidRPr="00570154">
        <w:rPr>
          <w:rFonts w:ascii="Verdana" w:hAnsi="Verdana"/>
          <w:i/>
          <w:sz w:val="20"/>
          <w:szCs w:val="20"/>
        </w:rPr>
        <w:t xml:space="preserve"> </w:t>
      </w:r>
      <w:r w:rsidRPr="00570154">
        <w:rPr>
          <w:rFonts w:ascii="Verdana" w:hAnsi="Verdana"/>
          <w:i/>
          <w:sz w:val="20"/>
          <w:szCs w:val="20"/>
        </w:rPr>
        <w:t xml:space="preserve"> do „Regulaminu  gospodarowania składnikami majątku ASP w Gdańsku”</w:t>
      </w:r>
    </w:p>
    <w:p w:rsidR="009B4FF4" w:rsidRPr="00570154" w:rsidRDefault="009B4FF4" w:rsidP="00381A1E">
      <w:pPr>
        <w:spacing w:after="0"/>
        <w:jc w:val="both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57015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</w:pPr>
    </w:p>
    <w:p w:rsidR="009B4FF4" w:rsidRPr="00570154" w:rsidRDefault="009B4FF4" w:rsidP="008A1DBB">
      <w:pPr>
        <w:widowControl w:val="0"/>
        <w:suppressAutoHyphens/>
        <w:autoSpaceDN w:val="0"/>
        <w:spacing w:after="0"/>
        <w:jc w:val="center"/>
        <w:textAlignment w:val="baseline"/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  <w:t>Zasady wycofywania składników ma</w:t>
      </w:r>
      <w:r w:rsidR="008A1DBB" w:rsidRPr="00570154"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  <w:t xml:space="preserve">jątku z użytkowania i ewidencji </w:t>
      </w:r>
      <w:r w:rsidRPr="00570154"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  <w:t>obowiązujące w</w:t>
      </w:r>
      <w:r w:rsidR="008A1DBB" w:rsidRPr="00570154"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70154">
        <w:rPr>
          <w:rFonts w:ascii="Verdana" w:eastAsia="Lucida Sans Unicode" w:hAnsi="Verdana" w:cs="Mangal"/>
          <w:b/>
          <w:bCs/>
          <w:kern w:val="3"/>
          <w:sz w:val="20"/>
          <w:szCs w:val="20"/>
          <w:lang w:eastAsia="zh-CN" w:bidi="hi-IN"/>
        </w:rPr>
        <w:t>Akademii Sztuk Pięknych w Gdańsku</w:t>
      </w:r>
    </w:p>
    <w:p w:rsidR="009B4FF4" w:rsidRPr="00570154" w:rsidRDefault="009B4FF4" w:rsidP="00381A1E">
      <w:pPr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Składniki majątku uznawane są za zbędne jeżeli: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  <w:t>a) są niesprawne technicznie, a naprawa jest niemożliwa lub nieopłacalna (jej koszty przekraczają 50% wartości nowego urządzenia),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  <w:t>b) są technicznie przestarzałe lub technicznie zużyte na skutek długotrwałego użytkowania,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  <w:t>c) nie były wykorzystywane przez ostatnie 2 lata i w okresie kolejnego roku nie planuje się ich wykorzystania,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  <w:t>d) ich wykorzystanie jest niecelowe ze względu na brak zastosowania lub nadmiernie wysokie koszty eksploatacji.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 Składniki majątku (środki trwałe i przedmioty </w:t>
      </w:r>
      <w:proofErr w:type="spellStart"/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niskocenne</w:t>
      </w:r>
      <w:proofErr w:type="spellEnd"/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), które ze względu na nadmierne ilości, brak celowości dalszego wykorzystania, stopień zużycia, uszkodzenie itp. zostały przez kierowników jednostek organizacyjnych uznane za zbędne, przekazywane są do: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  <w:t>a) OI – sprzęt komputerowy i sprzęt AV;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  <w:t xml:space="preserve">b) DAG – pozostałe składniki majątku, </w:t>
      </w:r>
    </w:p>
    <w:p w:rsidR="009B4FF4" w:rsidRPr="00570154" w:rsidRDefault="009B4FF4" w:rsidP="00381A1E">
      <w:pPr>
        <w:pStyle w:val="Akapitzlist"/>
        <w:widowControl w:val="0"/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wraz z instrukcjami obsługi, dokumentami gwarancji oraz wszelkimi informacjami </w:t>
      </w:r>
      <w:r w:rsidR="00CE3D7B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i dokumentami opisującymi ich stan techniczny.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DAG oraz OI dokonują oceny stanu technicznego składników majątku.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Przekazane do DAG i OI sprawne i przydatne do dalszego użytkowania składniki majątku  przechowywane są w magazynach i udostępniane innym użytkownikom wg potrzeb. 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W przypadku zbędnych składników majątku DAG lub OI kieruje do przewodniczącego Komisji Likwidacyjnej pisemny wniosek o wszczęcie procedury likwidacji ( załącznik nr 4b). Wniosek powinien zawierać wykaz składników przeznaczonych do likwidacji z ich numerami inwentarzowymi i opisem stanu technicznego z załączonymi orzeczeniami o stanie technicznym (załącznik nr 4a).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Co najmniej 3 członkowie Komisji Likwidacyjnej wyznaczeni przez przewodniczącego dokonują oględzin i oceny przydatności składników majątku i sporządzają opinię komisji likwidacyjnej wg wzoru określonego w załączniku nr 4a i przekazują ją Rektorowi lub Kanclerzowi. Opinia musi zawierać proponowany sposób zbycia zbędnych składników majątku (sprzedaż, nieodpłatne przekazanie, fizyczna kasacja), wycenę składników przeznaczonych </w:t>
      </w:r>
      <w:bookmarkStart w:id="0" w:name="_GoBack"/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do sprzedaży oraz propozycję zagospodarowania ewentualnych pozostałości składników majątku.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Ostateczną decyzję o przeznaczeniu składników majątku do likwidacji oraz sposobie jej dokonania podejmuje Rektor lub Kanclerz na podstawie opinii Komisji Likwidacyjnej. 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Na podstawie decyzji Rektora lub Kanclerza, DAG przeprowadza postępowanie </w:t>
      </w:r>
      <w:r w:rsidR="00CE3D7B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w celu znalezienia nabywcy lub przeprowadza fizyczną kasację składników majątku.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Z przeprowadzonych czynności Komisja Likwidacyjna sporządza protokół likwidacji – wg wzoru określonego w załączniku nr 4c. Protokół likwidacji musi zostać podpisany przez </w:t>
      </w:r>
      <w:r w:rsidR="009A2AE6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Kwestora  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i zatwierdzony przez Rektora lub Kanclerza, a następnie przekazywany jest do </w:t>
      </w:r>
      <w:r w:rsidR="00CE3D7B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Działu Księgowości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Na podstawie zatwierdzonego protokołu likwidacji </w:t>
      </w:r>
      <w:r w:rsidR="009A2AE6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Dział Księgowości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 zdejmuje 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lastRenderedPageBreak/>
        <w:t>zlikwidowane składniki majątku  z komputerowej ewidencji poprzez sporządzenie w systemie dokumentu LT. Odzyskane części  i podzespoły przekazywane są wg właściwości do magazynów, a surowce wtórne sprzedawane są w punktach skupu.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Dokumentacja odsprzedaży (decyzja Rektora lub Kanclerza, umowa sprzedaży, faktura sprzedaży), nieodpłatne przekazania (</w:t>
      </w:r>
      <w:bookmarkEnd w:id="0"/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decyzja Rektora lub Kanclerza, protokół przekazania) oraz kasacja składników majątku (decyzja Rektora lub Kanclerza, zatwierdzony protokół likwidacji) stanowi dla </w:t>
      </w:r>
      <w:r w:rsidR="009A2AE6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Działu Księgowości 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podstawę do wystawienia w systemie komputerowym dokumentów LT w celu zdjęcia z ewidencji składników majątku i stanowi załącznik do wystawionych dokumentów. Na dokumentach LT podpisują się: w miejscu komisji likwidacyjnej, strony przyjmującej – upoważniony pracownik DAG, w miejscu strony przekazującej lub osoby zatwierdzającej (po merytorycznym sprawdzenie dokumentu  i załączonej dokumentacji) – kierownik DAG.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Dokumenty LT sporządzane są w jednym egzemplarzu. Oryginał z załączonymi dokumentami, o których mowa w pkt. 11 </w:t>
      </w:r>
      <w:r w:rsidR="009A2AE6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pozostaje w Dziale Księgowości.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 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Po sprawdzeniu i zatwierdzeniu dokumentów w komputerowym systemie ewidencji składników majątku, składniki majątku zostają zdjęte </w:t>
      </w:r>
      <w:r w:rsidR="00896E63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z ewidencji ASP.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Zbędne składniki majątku sprawne technicznie, lecz nie mające zastosowania </w:t>
      </w:r>
      <w:r w:rsidR="007F6AB4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w ASP, powinny być  w miarę możliwości odsprzedawane innym instytucjom lub pracownikom po cenach wzajemnie uzgodnionych.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Zbędne składniki majątku przeznaczone do sprzedaży, które w ciągu 30 dni nie znajdą nabywcy, mogą zostać nieodpłatnie przekazane innym jednostkom sektora publicznego.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Składniki majątku, które nie znajdą chętnych do nieodpłatnego p</w:t>
      </w:r>
      <w:r w:rsidR="007F6AB4"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rzejęcia oraz składniki zużyte 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i niesprawne technicznie zostają przeznaczone do fizycznej kasacji.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Na podstawie decyzji Kanclerza Komisja Likwidacyjna przeprowadza fizyczną kasację składników majątkowych.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 xml:space="preserve">Fizyczna kasacja polega na pozbawieniu kasowanych składników majątkowych cech użyteczności, usunięciu numerów inwentarzowych, odzyskaniu użyteczności części, podzespołów i surowców wtórnych. </w:t>
      </w:r>
    </w:p>
    <w:p w:rsidR="009B4FF4" w:rsidRPr="00570154" w:rsidRDefault="009B4FF4" w:rsidP="00C02411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Pozostałe, zlikwidowane składniki majątkowe przekazywane są do utylizacji; dokument potwierdzenia oddania do utylizacji przekazywany jest do DAG.</w:t>
      </w:r>
    </w:p>
    <w:p w:rsidR="009B4FF4" w:rsidRPr="00570154" w:rsidRDefault="009B4FF4" w:rsidP="00570154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/>
        <w:jc w:val="both"/>
        <w:textAlignment w:val="baseline"/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</w:pP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t>W przypadku wyrażenia zgody na nieodpłatne przekazanie lub sprzedaż składników majątku, na podstawie decyzji Kanclerza, DAG wystawia odpowiednie dokumenty (protokół przekazania, umowa, faktura sprzedaży itp.) i dokonuje przekazania lub sprzedaży składników majątku nabywcy.</w:t>
      </w:r>
      <w:r w:rsidRPr="00570154">
        <w:rPr>
          <w:rFonts w:ascii="Verdana" w:eastAsia="Lucida Sans Unicode" w:hAnsi="Verdana" w:cs="Mangal"/>
          <w:kern w:val="3"/>
          <w:sz w:val="20"/>
          <w:szCs w:val="20"/>
          <w:lang w:eastAsia="zh-CN" w:bidi="hi-IN"/>
        </w:rPr>
        <w:br/>
      </w:r>
    </w:p>
    <w:sectPr w:rsidR="009B4FF4" w:rsidRPr="00570154" w:rsidSect="003250F0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BCB"/>
    <w:multiLevelType w:val="hybridMultilevel"/>
    <w:tmpl w:val="A6768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413F"/>
    <w:multiLevelType w:val="hybridMultilevel"/>
    <w:tmpl w:val="8230C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1F97"/>
    <w:multiLevelType w:val="hybridMultilevel"/>
    <w:tmpl w:val="0C6C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5CB2"/>
    <w:multiLevelType w:val="hybridMultilevel"/>
    <w:tmpl w:val="C5BC560E"/>
    <w:lvl w:ilvl="0" w:tplc="42DC3CF8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07E40"/>
    <w:multiLevelType w:val="hybridMultilevel"/>
    <w:tmpl w:val="595EF4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051E2"/>
    <w:multiLevelType w:val="hybridMultilevel"/>
    <w:tmpl w:val="FF66B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60F84"/>
    <w:multiLevelType w:val="hybridMultilevel"/>
    <w:tmpl w:val="E0DE4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E78CF"/>
    <w:multiLevelType w:val="hybridMultilevel"/>
    <w:tmpl w:val="F500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E200F"/>
    <w:multiLevelType w:val="hybridMultilevel"/>
    <w:tmpl w:val="49F24D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3500DE"/>
    <w:multiLevelType w:val="hybridMultilevel"/>
    <w:tmpl w:val="D268562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87C6304"/>
    <w:multiLevelType w:val="hybridMultilevel"/>
    <w:tmpl w:val="77600A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414A12F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CA3CB7"/>
    <w:multiLevelType w:val="hybridMultilevel"/>
    <w:tmpl w:val="50F439D0"/>
    <w:lvl w:ilvl="0" w:tplc="C41AC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11B28"/>
    <w:multiLevelType w:val="hybridMultilevel"/>
    <w:tmpl w:val="E6A4A4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63218C"/>
    <w:multiLevelType w:val="hybridMultilevel"/>
    <w:tmpl w:val="5A806EEE"/>
    <w:lvl w:ilvl="0" w:tplc="ECCCCD66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D4B7D"/>
    <w:multiLevelType w:val="hybridMultilevel"/>
    <w:tmpl w:val="23445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17122"/>
    <w:multiLevelType w:val="hybridMultilevel"/>
    <w:tmpl w:val="ED30F1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5445D"/>
    <w:multiLevelType w:val="hybridMultilevel"/>
    <w:tmpl w:val="DF0A2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15"/>
  </w:num>
  <w:num w:numId="7">
    <w:abstractNumId w:val="2"/>
  </w:num>
  <w:num w:numId="8">
    <w:abstractNumId w:val="14"/>
  </w:num>
  <w:num w:numId="9">
    <w:abstractNumId w:val="10"/>
  </w:num>
  <w:num w:numId="10">
    <w:abstractNumId w:val="16"/>
  </w:num>
  <w:num w:numId="11">
    <w:abstractNumId w:val="16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3"/>
  </w:num>
  <w:num w:numId="14">
    <w:abstractNumId w:val="9"/>
  </w:num>
  <w:num w:numId="15">
    <w:abstractNumId w:val="12"/>
  </w:num>
  <w:num w:numId="16">
    <w:abstractNumId w:val="13"/>
  </w:num>
  <w:num w:numId="17">
    <w:abstractNumId w:val="8"/>
  </w:num>
  <w:num w:numId="18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36274"/>
    <w:rsid w:val="00036274"/>
    <w:rsid w:val="00045598"/>
    <w:rsid w:val="00045766"/>
    <w:rsid w:val="000E0901"/>
    <w:rsid w:val="00125988"/>
    <w:rsid w:val="001873A3"/>
    <w:rsid w:val="001D2980"/>
    <w:rsid w:val="001D3533"/>
    <w:rsid w:val="00265D69"/>
    <w:rsid w:val="0029718F"/>
    <w:rsid w:val="002F0E05"/>
    <w:rsid w:val="003250F0"/>
    <w:rsid w:val="00353A44"/>
    <w:rsid w:val="00381A1E"/>
    <w:rsid w:val="003977AF"/>
    <w:rsid w:val="003D338B"/>
    <w:rsid w:val="00570154"/>
    <w:rsid w:val="00726C9F"/>
    <w:rsid w:val="00761A00"/>
    <w:rsid w:val="007A7AFE"/>
    <w:rsid w:val="007D2039"/>
    <w:rsid w:val="007F6AB4"/>
    <w:rsid w:val="00813697"/>
    <w:rsid w:val="008404EA"/>
    <w:rsid w:val="00896E63"/>
    <w:rsid w:val="008A1DBB"/>
    <w:rsid w:val="008E0391"/>
    <w:rsid w:val="009A2AE6"/>
    <w:rsid w:val="009B10BE"/>
    <w:rsid w:val="009B4FF4"/>
    <w:rsid w:val="00A564DF"/>
    <w:rsid w:val="00AA6686"/>
    <w:rsid w:val="00C02411"/>
    <w:rsid w:val="00C238BB"/>
    <w:rsid w:val="00C74192"/>
    <w:rsid w:val="00CA526C"/>
    <w:rsid w:val="00CD2611"/>
    <w:rsid w:val="00CE1843"/>
    <w:rsid w:val="00CE3D7B"/>
    <w:rsid w:val="00E444FE"/>
    <w:rsid w:val="00F6076D"/>
    <w:rsid w:val="00FA2EB7"/>
    <w:rsid w:val="00FC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274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627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36274"/>
    <w:pPr>
      <w:keepNext/>
      <w:spacing w:after="0" w:line="240" w:lineRule="auto"/>
      <w:outlineLvl w:val="1"/>
    </w:pPr>
    <w:rPr>
      <w:rFonts w:ascii="Arial" w:hAnsi="Arial"/>
      <w:b/>
      <w:bCs/>
      <w:sz w:val="20"/>
      <w:szCs w:val="24"/>
    </w:rPr>
  </w:style>
  <w:style w:type="paragraph" w:styleId="Nagwek4">
    <w:name w:val="heading 4"/>
    <w:basedOn w:val="Normalny"/>
    <w:next w:val="Normalny"/>
    <w:link w:val="Nagwek4Znak"/>
    <w:qFormat/>
    <w:rsid w:val="00036274"/>
    <w:pPr>
      <w:keepNext/>
      <w:spacing w:after="0" w:line="240" w:lineRule="auto"/>
      <w:jc w:val="center"/>
      <w:outlineLvl w:val="3"/>
    </w:pPr>
    <w:rPr>
      <w:rFonts w:ascii="Arial" w:hAnsi="Arial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627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36274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4"/>
    </w:rPr>
  </w:style>
  <w:style w:type="paragraph" w:styleId="Nagwek9">
    <w:name w:val="heading 9"/>
    <w:basedOn w:val="Normalny"/>
    <w:next w:val="Normalny"/>
    <w:link w:val="Nagwek9Znak"/>
    <w:qFormat/>
    <w:rsid w:val="00036274"/>
    <w:pPr>
      <w:keepNext/>
      <w:spacing w:after="0" w:line="360" w:lineRule="auto"/>
      <w:outlineLvl w:val="8"/>
    </w:pPr>
    <w:rPr>
      <w:rFonts w:ascii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2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36274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Nagwek4Znak">
    <w:name w:val="Nagłówek 4 Znak"/>
    <w:basedOn w:val="Domylnaczcionkaakapitu"/>
    <w:link w:val="Nagwek4"/>
    <w:rsid w:val="00036274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6274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036274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9Znak">
    <w:name w:val="Nagłówek 9 Znak"/>
    <w:basedOn w:val="Domylnaczcionkaakapitu"/>
    <w:link w:val="Nagwek9"/>
    <w:rsid w:val="00036274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0362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27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274"/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36274"/>
    <w:pPr>
      <w:spacing w:after="0" w:line="240" w:lineRule="auto"/>
      <w:ind w:left="1125"/>
    </w:pPr>
    <w:rPr>
      <w:rFonts w:ascii="Times New Roman" w:hAnsi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36274"/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27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362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274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03627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036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2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2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274"/>
    <w:rPr>
      <w:b/>
      <w:bCs/>
    </w:rPr>
  </w:style>
  <w:style w:type="paragraph" w:customStyle="1" w:styleId="Default">
    <w:name w:val="Default"/>
    <w:rsid w:val="00036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4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2016-02-08T11:17:00Z</dcterms:created>
  <dcterms:modified xsi:type="dcterms:W3CDTF">2016-02-08T11:29:00Z</dcterms:modified>
</cp:coreProperties>
</file>