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C" w:rsidRPr="006F6187" w:rsidRDefault="0013525C" w:rsidP="0013525C">
      <w:pPr>
        <w:spacing w:after="0"/>
        <w:rPr>
          <w:rFonts w:cstheme="minorHAnsi"/>
          <w:sz w:val="16"/>
          <w:szCs w:val="20"/>
        </w:rPr>
      </w:pPr>
      <w:r w:rsidRPr="006F6187">
        <w:rPr>
          <w:rFonts w:eastAsia="Calibri" w:cstheme="minorHAnsi"/>
          <w:color w:val="000000"/>
          <w:sz w:val="16"/>
          <w:szCs w:val="20"/>
        </w:rPr>
        <w:t xml:space="preserve">Znak sprawy:  </w:t>
      </w:r>
      <w:r w:rsidRPr="006F6187">
        <w:rPr>
          <w:rFonts w:eastAsia="Calibri" w:cstheme="minorHAnsi"/>
          <w:sz w:val="16"/>
          <w:szCs w:val="20"/>
        </w:rPr>
        <w:t>ZK-213/14/2021</w:t>
      </w:r>
    </w:p>
    <w:p w:rsidR="00F23335" w:rsidRPr="006F6187" w:rsidRDefault="00731793" w:rsidP="00731793">
      <w:pPr>
        <w:spacing w:after="0"/>
        <w:jc w:val="right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 xml:space="preserve">Gdańsk, dnia </w:t>
      </w:r>
      <w:r w:rsidR="0013525C" w:rsidRPr="006F6187">
        <w:rPr>
          <w:rFonts w:cstheme="minorHAnsi"/>
          <w:sz w:val="16"/>
          <w:szCs w:val="20"/>
        </w:rPr>
        <w:t>15</w:t>
      </w:r>
      <w:r w:rsidRPr="006F6187">
        <w:rPr>
          <w:rFonts w:cstheme="minorHAnsi"/>
          <w:sz w:val="16"/>
          <w:szCs w:val="20"/>
        </w:rPr>
        <w:t xml:space="preserve">.06.2021 r. 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9208C" w:rsidRPr="00120141" w:rsidRDefault="0079208C" w:rsidP="0079208C">
      <w:pPr>
        <w:jc w:val="both"/>
        <w:rPr>
          <w:rFonts w:cstheme="minorHAnsi"/>
          <w:b/>
          <w:sz w:val="18"/>
          <w:szCs w:val="18"/>
          <w:lang w:eastAsia="pl-PL"/>
        </w:rPr>
      </w:pPr>
      <w:r w:rsidRPr="00FF3C64">
        <w:rPr>
          <w:rFonts w:cstheme="minorHAnsi"/>
          <w:b/>
          <w:sz w:val="18"/>
          <w:szCs w:val="18"/>
          <w:lang w:eastAsia="pl-PL"/>
        </w:rPr>
        <w:t>Wykonawcy uczestniczący w postępowaniu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Dotyczy:</w:t>
      </w:r>
      <w:r w:rsidRPr="006F6187">
        <w:rPr>
          <w:rFonts w:cstheme="minorHAnsi"/>
          <w:sz w:val="16"/>
          <w:szCs w:val="20"/>
        </w:rPr>
        <w:t xml:space="preserve"> postępowania o udzielenie zamówienia publicznego prowadzonego w trybie podstawowym o wartości szacunkowej mniejszej niż progi unijne, zgodnie z art. 275 pkt 1) ustawy z dnia 11 września 2019r. Prawo zamówień publicznych (Dz. U. z 2019r. poz. 2019 z późniejszymi zmianami), dalej zwanej ustawą, pn.: „</w:t>
      </w:r>
      <w:r w:rsidR="0013525C" w:rsidRPr="006F6187">
        <w:rPr>
          <w:rFonts w:cstheme="minorHAnsi"/>
          <w:b/>
          <w:sz w:val="16"/>
          <w:szCs w:val="20"/>
        </w:rPr>
        <w:t>Dostawa jednostek centralnych komputera stacjonarnego dla Akademii Sztuk Pięknych w Gdańsku</w:t>
      </w:r>
      <w:r w:rsidRPr="006F6187">
        <w:rPr>
          <w:rFonts w:cstheme="minorHAnsi"/>
          <w:sz w:val="16"/>
          <w:szCs w:val="20"/>
        </w:rPr>
        <w:t>”</w:t>
      </w:r>
    </w:p>
    <w:p w:rsidR="006F6187" w:rsidRDefault="006F6187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Zamawiający, na podstawie art. 253 ust. 2 ustawy, zawiadamia o wyborze najkorzystniejszej oferty postępowania o udzielenie ww. zamówienia publicznego.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Wybór najkorzystniejszej oferty.</w:t>
      </w:r>
    </w:p>
    <w:p w:rsidR="00731793" w:rsidRPr="00EE6ED3" w:rsidRDefault="00731793" w:rsidP="0013525C">
      <w:pPr>
        <w:pStyle w:val="Akapitzlist"/>
        <w:spacing w:after="0"/>
        <w:ind w:left="426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sz w:val="16"/>
          <w:szCs w:val="20"/>
        </w:rPr>
        <w:t>Za najkorzystniejszą została uznana oferta złożona przez:</w:t>
      </w:r>
      <w:r w:rsidR="0013525C" w:rsidRPr="006F6187">
        <w:rPr>
          <w:rFonts w:cstheme="minorHAnsi"/>
          <w:sz w:val="16"/>
          <w:szCs w:val="20"/>
        </w:rPr>
        <w:t xml:space="preserve"> </w:t>
      </w:r>
      <w:bookmarkStart w:id="0" w:name="_GoBack"/>
      <w:r w:rsidR="0013525C" w:rsidRPr="00EE6ED3">
        <w:rPr>
          <w:rFonts w:cstheme="minorHAnsi"/>
          <w:b/>
          <w:sz w:val="16"/>
          <w:szCs w:val="20"/>
        </w:rPr>
        <w:t>IMMITIS Sp. z o.o., ul. Dworcowa 83, 85-009 Bydgoszcz</w:t>
      </w:r>
    </w:p>
    <w:bookmarkEnd w:id="0"/>
    <w:p w:rsidR="00731793" w:rsidRPr="006F6187" w:rsidRDefault="00731793" w:rsidP="00731793">
      <w:pPr>
        <w:pStyle w:val="Akapitzlist"/>
        <w:spacing w:after="0"/>
        <w:ind w:left="426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 xml:space="preserve">Uzasadnienie wyboru oferty najkorzystniejszej: </w:t>
      </w:r>
      <w:r w:rsidRPr="006F6187">
        <w:rPr>
          <w:rFonts w:cstheme="minorHAnsi"/>
          <w:sz w:val="16"/>
          <w:szCs w:val="20"/>
        </w:rPr>
        <w:t>Oferta ww. Wykonawcy jest ofertą najkorzystniejszą pod względem kryteriów oceny ofert określonych w specyfikacji warunków zamówienia. Oferta Wykonawcy jest ważna, nie podlega odrzuceniu oraz uzyskała największą ilość punktów.</w:t>
      </w:r>
    </w:p>
    <w:p w:rsidR="00731793" w:rsidRPr="006F6187" w:rsidRDefault="00731793" w:rsidP="00731793">
      <w:pPr>
        <w:pStyle w:val="Akapitzlist"/>
        <w:spacing w:after="0"/>
        <w:ind w:left="426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W niniejszym postępowaniu oferty złożyli Wykonawcy i uzyskali punktację zgodnie z poniższym:</w:t>
      </w:r>
    </w:p>
    <w:tbl>
      <w:tblPr>
        <w:tblStyle w:val="Tabela-Siatka"/>
        <w:tblW w:w="884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774"/>
        <w:gridCol w:w="774"/>
        <w:gridCol w:w="775"/>
        <w:gridCol w:w="1877"/>
      </w:tblGrid>
      <w:tr w:rsidR="006F6187" w:rsidRPr="006F6187" w:rsidTr="006F6187">
        <w:trPr>
          <w:trHeight w:val="195"/>
        </w:trPr>
        <w:tc>
          <w:tcPr>
            <w:tcW w:w="675" w:type="dxa"/>
            <w:vMerge w:val="restart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 (firma) i adres wykonawcy*</w:t>
            </w:r>
          </w:p>
        </w:tc>
        <w:tc>
          <w:tcPr>
            <w:tcW w:w="992" w:type="dxa"/>
            <w:vMerge w:val="restart"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Łączna punktacja</w:t>
            </w:r>
          </w:p>
        </w:tc>
        <w:tc>
          <w:tcPr>
            <w:tcW w:w="4200" w:type="dxa"/>
            <w:gridSpan w:val="4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Punktacja przyznana ofercie w cząstkowych kryteriach</w:t>
            </w:r>
          </w:p>
        </w:tc>
      </w:tr>
      <w:tr w:rsidR="006F6187" w:rsidRPr="006F6187" w:rsidTr="006F6187">
        <w:trPr>
          <w:trHeight w:val="403"/>
        </w:trPr>
        <w:tc>
          <w:tcPr>
            <w:tcW w:w="675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Przyznane punkty</w:t>
            </w:r>
          </w:p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 – waga 40 %</w:t>
            </w:r>
          </w:p>
        </w:tc>
        <w:tc>
          <w:tcPr>
            <w:tcW w:w="1877" w:type="dxa"/>
            <w:vMerge w:val="restart"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Przyznane punkty</w:t>
            </w:r>
          </w:p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C – waga 60%</w:t>
            </w:r>
          </w:p>
        </w:tc>
      </w:tr>
      <w:tr w:rsidR="006F6187" w:rsidRPr="006F6187" w:rsidTr="006F6187">
        <w:trPr>
          <w:trHeight w:val="182"/>
        </w:trPr>
        <w:tc>
          <w:tcPr>
            <w:tcW w:w="675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4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1</w:t>
            </w:r>
          </w:p>
        </w:tc>
        <w:tc>
          <w:tcPr>
            <w:tcW w:w="774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</w:p>
        </w:tc>
        <w:tc>
          <w:tcPr>
            <w:tcW w:w="775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6F61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3</w:t>
            </w:r>
          </w:p>
        </w:tc>
        <w:tc>
          <w:tcPr>
            <w:tcW w:w="1877" w:type="dxa"/>
            <w:vMerge/>
            <w:vAlign w:val="center"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6187" w:rsidRPr="006F6187" w:rsidTr="006F6187">
        <w:trPr>
          <w:trHeight w:val="300"/>
        </w:trPr>
        <w:tc>
          <w:tcPr>
            <w:tcW w:w="675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6F6187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Neksus</w:t>
            </w:r>
            <w:proofErr w:type="spellEnd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Piotr Ścibisz Leszek </w:t>
            </w:r>
            <w:proofErr w:type="spellStart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Pietrzyski</w:t>
            </w:r>
            <w:proofErr w:type="spellEnd"/>
          </w:p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Spółka Jawna</w:t>
            </w: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Ul. </w:t>
            </w:r>
            <w:proofErr w:type="spellStart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Kocurki</w:t>
            </w:r>
            <w:proofErr w:type="spellEnd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3, 80-822 Gdańsk</w:t>
            </w:r>
          </w:p>
        </w:tc>
        <w:tc>
          <w:tcPr>
            <w:tcW w:w="992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74,19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5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877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49,19</w:t>
            </w:r>
          </w:p>
        </w:tc>
      </w:tr>
      <w:tr w:rsidR="006F6187" w:rsidRPr="006F6187" w:rsidTr="006F6187">
        <w:trPr>
          <w:trHeight w:val="426"/>
        </w:trPr>
        <w:tc>
          <w:tcPr>
            <w:tcW w:w="675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6F6187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Innovation</w:t>
            </w:r>
            <w:proofErr w:type="spellEnd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Technology</w:t>
            </w:r>
          </w:p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spółka z ograniczoną odpowiedzialnością, </w:t>
            </w: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ul. Szmaragdowa 3, 78-100 Niekanin</w:t>
            </w:r>
          </w:p>
        </w:tc>
        <w:tc>
          <w:tcPr>
            <w:tcW w:w="992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82,10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5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877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42,10</w:t>
            </w:r>
          </w:p>
        </w:tc>
      </w:tr>
      <w:tr w:rsidR="006F6187" w:rsidRPr="006F6187" w:rsidTr="006F6187">
        <w:trPr>
          <w:trHeight w:val="351"/>
        </w:trPr>
        <w:tc>
          <w:tcPr>
            <w:tcW w:w="675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:rsidR="006F6187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NTT Technology sp. z o.o., Zakręt, </w:t>
            </w: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ul. Trakt Brzeski 89,</w:t>
            </w:r>
          </w:p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05-077 Warszawa - Wesoła</w:t>
            </w:r>
          </w:p>
        </w:tc>
        <w:tc>
          <w:tcPr>
            <w:tcW w:w="992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80,58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5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877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40,58</w:t>
            </w:r>
          </w:p>
        </w:tc>
      </w:tr>
      <w:tr w:rsidR="006F6187" w:rsidRPr="006F6187" w:rsidTr="006F6187">
        <w:trPr>
          <w:trHeight w:val="300"/>
        </w:trPr>
        <w:tc>
          <w:tcPr>
            <w:tcW w:w="675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IMMITIS Sp. z o.o., </w:t>
            </w: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ul. Dworcowa 83, 85-009 Bydgoszcz</w:t>
            </w:r>
          </w:p>
        </w:tc>
        <w:tc>
          <w:tcPr>
            <w:tcW w:w="992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5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877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60,00</w:t>
            </w:r>
          </w:p>
        </w:tc>
      </w:tr>
      <w:tr w:rsidR="006F6187" w:rsidRPr="006F6187" w:rsidTr="006F6187">
        <w:trPr>
          <w:trHeight w:val="290"/>
        </w:trPr>
        <w:tc>
          <w:tcPr>
            <w:tcW w:w="675" w:type="dxa"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77" w:type="dxa"/>
            <w:vAlign w:val="center"/>
            <w:hideMark/>
          </w:tcPr>
          <w:p w:rsidR="006F6187" w:rsidRPr="006F6187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Komputronik</w:t>
            </w:r>
            <w:proofErr w:type="spellEnd"/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Biznes</w:t>
            </w:r>
          </w:p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Sp. z o.o. w restrukturyzacji, </w:t>
            </w: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ul. Wołczyńska 37, 60-003 Poznań</w:t>
            </w:r>
          </w:p>
        </w:tc>
        <w:tc>
          <w:tcPr>
            <w:tcW w:w="992" w:type="dxa"/>
            <w:vAlign w:val="center"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59,22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74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775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77" w:type="dxa"/>
            <w:noWrap/>
            <w:vAlign w:val="center"/>
            <w:hideMark/>
          </w:tcPr>
          <w:p w:rsidR="006F6187" w:rsidRPr="0013525C" w:rsidRDefault="006F6187" w:rsidP="006F61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3525C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44,22</w:t>
            </w:r>
          </w:p>
        </w:tc>
      </w:tr>
    </w:tbl>
    <w:p w:rsidR="00731793" w:rsidRDefault="0013525C" w:rsidP="0013525C">
      <w:pPr>
        <w:tabs>
          <w:tab w:val="left" w:pos="851"/>
        </w:tabs>
        <w:spacing w:after="0"/>
        <w:jc w:val="both"/>
        <w:rPr>
          <w:rFonts w:eastAsia="Calibri" w:cstheme="minorHAnsi"/>
          <w:sz w:val="16"/>
          <w:szCs w:val="16"/>
        </w:rPr>
      </w:pPr>
      <w:r w:rsidRPr="006F6187">
        <w:rPr>
          <w:rFonts w:eastAsia="Calibri" w:cstheme="minorHAnsi"/>
          <w:sz w:val="16"/>
          <w:szCs w:val="16"/>
        </w:rPr>
        <w:t xml:space="preserve">kryterium cena </w:t>
      </w:r>
      <w:r w:rsidRPr="006F6187">
        <w:rPr>
          <w:rFonts w:eastAsia="Calibri" w:cstheme="minorHAnsi"/>
          <w:b/>
          <w:sz w:val="16"/>
          <w:szCs w:val="16"/>
        </w:rPr>
        <w:t xml:space="preserve">(C), </w:t>
      </w:r>
      <w:r w:rsidRPr="006F6187">
        <w:rPr>
          <w:rFonts w:eastAsia="Calibri" w:cstheme="minorHAnsi"/>
          <w:sz w:val="16"/>
          <w:szCs w:val="16"/>
        </w:rPr>
        <w:t xml:space="preserve">kryterium właściwości techniczne </w:t>
      </w:r>
      <w:r w:rsidRPr="006F6187">
        <w:rPr>
          <w:rFonts w:eastAsia="Calibri" w:cstheme="minorHAnsi"/>
          <w:b/>
          <w:sz w:val="16"/>
          <w:szCs w:val="16"/>
        </w:rPr>
        <w:t xml:space="preserve">(T): </w:t>
      </w:r>
      <w:r w:rsidRPr="006F6187">
        <w:rPr>
          <w:rFonts w:eastAsia="Calibri" w:cstheme="minorHAnsi"/>
          <w:sz w:val="16"/>
          <w:szCs w:val="16"/>
        </w:rPr>
        <w:t xml:space="preserve">zgodnie z poniższym wzorem: </w:t>
      </w:r>
      <w:r w:rsidRPr="006F6187">
        <w:rPr>
          <w:rFonts w:eastAsia="Calibri" w:cstheme="minorHAnsi"/>
          <w:b/>
          <w:sz w:val="16"/>
          <w:szCs w:val="16"/>
        </w:rPr>
        <w:t>T = 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>1</w:t>
      </w:r>
      <w:r w:rsidRPr="006F6187">
        <w:rPr>
          <w:rFonts w:eastAsia="Calibri" w:cstheme="minorHAnsi"/>
          <w:b/>
          <w:sz w:val="16"/>
          <w:szCs w:val="16"/>
        </w:rPr>
        <w:t xml:space="preserve"> + 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>2</w:t>
      </w:r>
      <w:r w:rsidRPr="006F6187">
        <w:rPr>
          <w:rFonts w:eastAsia="Calibri" w:cstheme="minorHAnsi"/>
          <w:b/>
          <w:sz w:val="16"/>
          <w:szCs w:val="16"/>
        </w:rPr>
        <w:t xml:space="preserve"> + 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>3</w:t>
      </w:r>
      <w:r w:rsidRPr="006F6187">
        <w:rPr>
          <w:rFonts w:eastAsia="Calibri" w:cstheme="minorHAnsi"/>
          <w:b/>
          <w:sz w:val="16"/>
          <w:szCs w:val="16"/>
        </w:rPr>
        <w:t>, 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>1</w:t>
      </w:r>
      <w:r w:rsidRPr="006F6187">
        <w:rPr>
          <w:rFonts w:eastAsia="Calibri" w:cstheme="minorHAnsi"/>
          <w:sz w:val="16"/>
          <w:szCs w:val="16"/>
          <w:vertAlign w:val="subscript"/>
        </w:rPr>
        <w:t xml:space="preserve"> </w:t>
      </w:r>
      <w:r w:rsidRPr="006F6187">
        <w:rPr>
          <w:rFonts w:eastAsia="Calibri" w:cstheme="minorHAnsi"/>
          <w:sz w:val="16"/>
          <w:szCs w:val="16"/>
        </w:rPr>
        <w:t xml:space="preserve">– ilość przyznanych punktów </w:t>
      </w:r>
      <w:proofErr w:type="spellStart"/>
      <w:r w:rsidRPr="006F6187">
        <w:rPr>
          <w:rFonts w:eastAsia="Calibri" w:cstheme="minorHAnsi"/>
          <w:sz w:val="16"/>
          <w:szCs w:val="16"/>
        </w:rPr>
        <w:t>podkryterium</w:t>
      </w:r>
      <w:proofErr w:type="spellEnd"/>
      <w:r w:rsidRPr="006F6187">
        <w:rPr>
          <w:rFonts w:eastAsia="Calibri" w:cstheme="minorHAnsi"/>
          <w:sz w:val="16"/>
          <w:szCs w:val="16"/>
        </w:rPr>
        <w:t xml:space="preserve"> „Wydajność procesora liczona w punktach wyniku benchmarku wydajności wskazanego w specyfikacji” </w:t>
      </w:r>
      <w:r w:rsidRPr="006F6187">
        <w:rPr>
          <w:rFonts w:eastAsia="Calibri" w:cstheme="minorHAnsi"/>
          <w:b/>
          <w:sz w:val="16"/>
          <w:szCs w:val="16"/>
        </w:rPr>
        <w:t>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 xml:space="preserve">2 </w:t>
      </w:r>
      <w:r w:rsidRPr="006F6187">
        <w:rPr>
          <w:rFonts w:eastAsia="Calibri" w:cstheme="minorHAnsi"/>
          <w:sz w:val="16"/>
          <w:szCs w:val="16"/>
        </w:rPr>
        <w:t xml:space="preserve">– ilość przyznanych punktów w </w:t>
      </w:r>
      <w:proofErr w:type="spellStart"/>
      <w:r w:rsidRPr="006F6187">
        <w:rPr>
          <w:rFonts w:eastAsia="Calibri" w:cstheme="minorHAnsi"/>
          <w:sz w:val="16"/>
          <w:szCs w:val="16"/>
        </w:rPr>
        <w:t>podkryterium</w:t>
      </w:r>
      <w:proofErr w:type="spellEnd"/>
      <w:r w:rsidRPr="006F6187">
        <w:rPr>
          <w:rFonts w:eastAsia="Calibri" w:cstheme="minorHAnsi"/>
          <w:sz w:val="16"/>
          <w:szCs w:val="16"/>
        </w:rPr>
        <w:t xml:space="preserve"> „Wydajność karty graficznej liczona w punktach wyniku benchmarku wydajności wskazanego w specyfikacji”</w:t>
      </w:r>
      <w:r w:rsidR="0079208C">
        <w:rPr>
          <w:rFonts w:eastAsia="Calibri" w:cstheme="minorHAnsi"/>
          <w:sz w:val="16"/>
          <w:szCs w:val="16"/>
        </w:rPr>
        <w:t xml:space="preserve"> </w:t>
      </w:r>
      <w:r w:rsidRPr="006F6187">
        <w:rPr>
          <w:rFonts w:eastAsia="Calibri" w:cstheme="minorHAnsi"/>
          <w:b/>
          <w:sz w:val="16"/>
          <w:szCs w:val="16"/>
        </w:rPr>
        <w:t>W</w:t>
      </w:r>
      <w:r w:rsidRPr="006F6187">
        <w:rPr>
          <w:rFonts w:eastAsia="Calibri" w:cstheme="minorHAnsi"/>
          <w:b/>
          <w:sz w:val="16"/>
          <w:szCs w:val="16"/>
          <w:vertAlign w:val="subscript"/>
        </w:rPr>
        <w:t xml:space="preserve">3 </w:t>
      </w:r>
      <w:r w:rsidRPr="006F6187">
        <w:rPr>
          <w:rFonts w:eastAsia="Calibri" w:cstheme="minorHAnsi"/>
          <w:sz w:val="16"/>
          <w:szCs w:val="16"/>
        </w:rPr>
        <w:t xml:space="preserve">– ilość przyznanych punktów w </w:t>
      </w:r>
      <w:proofErr w:type="spellStart"/>
      <w:r w:rsidRPr="006F6187">
        <w:rPr>
          <w:rFonts w:eastAsia="Calibri" w:cstheme="minorHAnsi"/>
          <w:sz w:val="16"/>
          <w:szCs w:val="16"/>
        </w:rPr>
        <w:t>podkryterium</w:t>
      </w:r>
      <w:proofErr w:type="spellEnd"/>
      <w:r w:rsidRPr="006F6187">
        <w:rPr>
          <w:rFonts w:eastAsia="Calibri" w:cstheme="minorHAnsi"/>
          <w:sz w:val="16"/>
          <w:szCs w:val="16"/>
        </w:rPr>
        <w:t xml:space="preserve"> „Częstotliwość taktowania pamięci RAM”</w:t>
      </w:r>
    </w:p>
    <w:p w:rsidR="006F6187" w:rsidRPr="006F6187" w:rsidRDefault="006F6187" w:rsidP="0013525C">
      <w:pPr>
        <w:tabs>
          <w:tab w:val="left" w:pos="851"/>
        </w:tabs>
        <w:spacing w:after="0"/>
        <w:jc w:val="both"/>
        <w:rPr>
          <w:rFonts w:eastAsia="Calibri" w:cstheme="minorHAnsi"/>
          <w:sz w:val="16"/>
          <w:szCs w:val="16"/>
        </w:rPr>
      </w:pPr>
    </w:p>
    <w:p w:rsidR="00731793" w:rsidRPr="006F6187" w:rsidRDefault="00731793" w:rsidP="001F168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 xml:space="preserve">Uzasadnienie przyznania punktów w </w:t>
      </w:r>
      <w:proofErr w:type="spellStart"/>
      <w:r w:rsidRPr="006F6187">
        <w:rPr>
          <w:rFonts w:cstheme="minorHAnsi"/>
          <w:b/>
          <w:sz w:val="16"/>
          <w:szCs w:val="20"/>
        </w:rPr>
        <w:t>pozacenowym</w:t>
      </w:r>
      <w:proofErr w:type="spellEnd"/>
      <w:r w:rsidRPr="006F6187">
        <w:rPr>
          <w:rFonts w:cstheme="minorHAnsi"/>
          <w:b/>
          <w:sz w:val="16"/>
          <w:szCs w:val="20"/>
        </w:rPr>
        <w:t xml:space="preserve"> kryterium oceny ofert.</w:t>
      </w:r>
    </w:p>
    <w:p w:rsidR="00731793" w:rsidRPr="006F6187" w:rsidRDefault="00731793" w:rsidP="001F1681">
      <w:pPr>
        <w:pStyle w:val="Akapitzlist"/>
        <w:spacing w:after="0"/>
        <w:ind w:left="426"/>
        <w:jc w:val="both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 xml:space="preserve">Zamawiający informuje, że punktacja w </w:t>
      </w:r>
      <w:proofErr w:type="spellStart"/>
      <w:r w:rsidRPr="006F6187">
        <w:rPr>
          <w:rFonts w:cstheme="minorHAnsi"/>
          <w:sz w:val="16"/>
          <w:szCs w:val="20"/>
        </w:rPr>
        <w:t>pozacenowym</w:t>
      </w:r>
      <w:proofErr w:type="spellEnd"/>
      <w:r w:rsidRPr="006F6187">
        <w:rPr>
          <w:rFonts w:cstheme="minorHAnsi"/>
          <w:sz w:val="16"/>
          <w:szCs w:val="20"/>
        </w:rPr>
        <w:t xml:space="preserve"> kryterium</w:t>
      </w:r>
      <w:r w:rsidR="001F1681" w:rsidRPr="001F1681">
        <w:t xml:space="preserve"> </w:t>
      </w:r>
      <w:r w:rsidR="001F1681">
        <w:rPr>
          <w:rFonts w:cstheme="minorHAnsi"/>
          <w:sz w:val="16"/>
          <w:szCs w:val="20"/>
        </w:rPr>
        <w:t>oceny</w:t>
      </w:r>
      <w:r w:rsidR="001F1681" w:rsidRPr="001F1681">
        <w:rPr>
          <w:rFonts w:cstheme="minorHAnsi"/>
          <w:sz w:val="16"/>
          <w:szCs w:val="20"/>
        </w:rPr>
        <w:t xml:space="preserve"> </w:t>
      </w:r>
      <w:r w:rsidR="001F1681">
        <w:rPr>
          <w:rFonts w:cstheme="minorHAnsi"/>
          <w:sz w:val="16"/>
          <w:szCs w:val="20"/>
        </w:rPr>
        <w:t xml:space="preserve">została przyznana wykonawcom na podstawie </w:t>
      </w:r>
      <w:r w:rsidR="001F1681" w:rsidRPr="001F1681">
        <w:rPr>
          <w:rFonts w:cstheme="minorHAnsi"/>
          <w:sz w:val="16"/>
          <w:szCs w:val="20"/>
        </w:rPr>
        <w:t xml:space="preserve"> </w:t>
      </w:r>
      <w:r w:rsidR="001F1681">
        <w:rPr>
          <w:rFonts w:cstheme="minorHAnsi"/>
          <w:sz w:val="16"/>
          <w:szCs w:val="20"/>
        </w:rPr>
        <w:t xml:space="preserve">informacji podanych przez </w:t>
      </w:r>
      <w:r w:rsidR="001F1681" w:rsidRPr="001F1681">
        <w:rPr>
          <w:rFonts w:cstheme="minorHAnsi"/>
          <w:sz w:val="16"/>
          <w:szCs w:val="20"/>
        </w:rPr>
        <w:t>Wykonaw</w:t>
      </w:r>
      <w:r w:rsidR="001F1681">
        <w:rPr>
          <w:rFonts w:cstheme="minorHAnsi"/>
          <w:sz w:val="16"/>
          <w:szCs w:val="20"/>
        </w:rPr>
        <w:t xml:space="preserve">cę w opisie oferowanego towaru, </w:t>
      </w:r>
      <w:r w:rsidRPr="006F6187">
        <w:rPr>
          <w:rFonts w:cstheme="minorHAnsi"/>
          <w:sz w:val="16"/>
          <w:szCs w:val="20"/>
        </w:rPr>
        <w:t>zweryfikowanych merytorycznie w toku badania i oceny w oparciu o kryteria oceny ofert opisane w punkcie 13 SWZ.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Dziękujemy za udział w postępowaniu.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Default="00731793" w:rsidP="00731793">
      <w:pPr>
        <w:spacing w:after="0"/>
        <w:ind w:left="5670"/>
        <w:jc w:val="center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ZATWIERDZIŁ</w:t>
      </w:r>
    </w:p>
    <w:p w:rsidR="001F1681" w:rsidRDefault="001F1681" w:rsidP="00731793">
      <w:pPr>
        <w:spacing w:after="0"/>
        <w:ind w:left="5670"/>
        <w:jc w:val="center"/>
        <w:rPr>
          <w:rFonts w:cstheme="minorHAnsi"/>
          <w:b/>
          <w:sz w:val="16"/>
          <w:szCs w:val="20"/>
        </w:rPr>
      </w:pPr>
    </w:p>
    <w:p w:rsidR="001F1681" w:rsidRPr="006F6187" w:rsidRDefault="001F1681" w:rsidP="00731793">
      <w:pPr>
        <w:spacing w:after="0"/>
        <w:ind w:left="5670"/>
        <w:jc w:val="center"/>
        <w:rPr>
          <w:rFonts w:cstheme="minorHAnsi"/>
          <w:b/>
          <w:sz w:val="16"/>
          <w:szCs w:val="20"/>
        </w:rPr>
      </w:pPr>
    </w:p>
    <w:p w:rsidR="00731793" w:rsidRDefault="001F1681" w:rsidP="00731793">
      <w:pPr>
        <w:spacing w:after="0"/>
        <w:ind w:left="5670"/>
        <w:jc w:val="center"/>
        <w:rPr>
          <w:rFonts w:cstheme="minorHAnsi"/>
          <w:sz w:val="16"/>
          <w:szCs w:val="20"/>
        </w:rPr>
      </w:pPr>
      <w:r>
        <w:rPr>
          <w:rFonts w:cstheme="minorHAnsi"/>
          <w:b/>
          <w:sz w:val="16"/>
          <w:szCs w:val="20"/>
        </w:rPr>
        <w:t>………………………………………………………..</w:t>
      </w:r>
    </w:p>
    <w:p w:rsidR="0079208C" w:rsidRPr="00960F7B" w:rsidRDefault="0079208C" w:rsidP="0079208C">
      <w:pPr>
        <w:rPr>
          <w:sz w:val="16"/>
          <w:szCs w:val="16"/>
          <w:lang w:eastAsia="pl-PL"/>
        </w:rPr>
      </w:pPr>
      <w:r w:rsidRPr="00960F7B">
        <w:rPr>
          <w:sz w:val="16"/>
          <w:szCs w:val="16"/>
          <w:lang w:eastAsia="pl-PL"/>
        </w:rPr>
        <w:t>Otrzymują:</w:t>
      </w:r>
    </w:p>
    <w:p w:rsidR="0079208C" w:rsidRDefault="0079208C" w:rsidP="0079208C">
      <w:pPr>
        <w:numPr>
          <w:ilvl w:val="0"/>
          <w:numId w:val="3"/>
        </w:numPr>
        <w:spacing w:after="0" w:line="240" w:lineRule="auto"/>
        <w:ind w:left="284" w:hanging="284"/>
        <w:rPr>
          <w:sz w:val="16"/>
          <w:szCs w:val="16"/>
          <w:lang w:eastAsia="pl-PL"/>
        </w:rPr>
      </w:pPr>
      <w:r w:rsidRPr="00960F7B">
        <w:rPr>
          <w:sz w:val="16"/>
          <w:szCs w:val="16"/>
          <w:lang w:eastAsia="pl-PL"/>
        </w:rPr>
        <w:t>Wykonawcy biorący udział w postępowaniu</w:t>
      </w:r>
      <w:r>
        <w:rPr>
          <w:sz w:val="16"/>
          <w:szCs w:val="16"/>
          <w:lang w:eastAsia="pl-PL"/>
        </w:rPr>
        <w:t>,</w:t>
      </w:r>
    </w:p>
    <w:p w:rsidR="0079208C" w:rsidRPr="001F1681" w:rsidRDefault="0079208C" w:rsidP="0079208C">
      <w:pPr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16"/>
          <w:szCs w:val="20"/>
        </w:rPr>
      </w:pPr>
      <w:r w:rsidRPr="001F1681">
        <w:rPr>
          <w:sz w:val="16"/>
          <w:szCs w:val="16"/>
          <w:lang w:eastAsia="pl-PL"/>
        </w:rPr>
        <w:t>a/a</w:t>
      </w:r>
    </w:p>
    <w:sectPr w:rsidR="0079208C" w:rsidRPr="001F1681" w:rsidSect="00731793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22" w:rsidRDefault="00103C22" w:rsidP="00731793">
      <w:pPr>
        <w:spacing w:after="0" w:line="240" w:lineRule="auto"/>
      </w:pPr>
      <w:r>
        <w:separator/>
      </w:r>
    </w:p>
  </w:endnote>
  <w:endnote w:type="continuationSeparator" w:id="0">
    <w:p w:rsidR="00103C22" w:rsidRDefault="00103C22" w:rsidP="0073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22" w:rsidRDefault="00103C22" w:rsidP="00731793">
      <w:pPr>
        <w:spacing w:after="0" w:line="240" w:lineRule="auto"/>
      </w:pPr>
      <w:r>
        <w:separator/>
      </w:r>
    </w:p>
  </w:footnote>
  <w:footnote w:type="continuationSeparator" w:id="0">
    <w:p w:rsidR="00103C22" w:rsidRDefault="00103C22" w:rsidP="0073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93" w:rsidRDefault="00731793">
    <w:pPr>
      <w:pStyle w:val="Nagwek"/>
    </w:pPr>
    <w:r>
      <w:rPr>
        <w:noProof/>
        <w:lang w:eastAsia="pl-PL"/>
      </w:rPr>
      <w:drawing>
        <wp:inline distT="0" distB="0" distL="0" distR="0" wp14:anchorId="16AA79E4" wp14:editId="2512D0C2">
          <wp:extent cx="1704109" cy="56528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75 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346" cy="567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277"/>
    <w:multiLevelType w:val="hybridMultilevel"/>
    <w:tmpl w:val="CB2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A84"/>
    <w:multiLevelType w:val="hybridMultilevel"/>
    <w:tmpl w:val="F1EA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C3C2D"/>
    <w:multiLevelType w:val="hybridMultilevel"/>
    <w:tmpl w:val="7E68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93"/>
    <w:rsid w:val="00103C22"/>
    <w:rsid w:val="0013525C"/>
    <w:rsid w:val="00167B1C"/>
    <w:rsid w:val="001F1681"/>
    <w:rsid w:val="001F4E52"/>
    <w:rsid w:val="00354A30"/>
    <w:rsid w:val="004518F3"/>
    <w:rsid w:val="006F6187"/>
    <w:rsid w:val="00731793"/>
    <w:rsid w:val="0079208C"/>
    <w:rsid w:val="00B0212A"/>
    <w:rsid w:val="00B31E65"/>
    <w:rsid w:val="00EE6ED3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93"/>
  </w:style>
  <w:style w:type="paragraph" w:styleId="Stopka">
    <w:name w:val="footer"/>
    <w:basedOn w:val="Normalny"/>
    <w:link w:val="Stopka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93"/>
  </w:style>
  <w:style w:type="paragraph" w:styleId="Tekstdymka">
    <w:name w:val="Balloon Text"/>
    <w:basedOn w:val="Normalny"/>
    <w:link w:val="TekstdymkaZnak"/>
    <w:uiPriority w:val="99"/>
    <w:semiHidden/>
    <w:unhideWhenUsed/>
    <w:rsid w:val="007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17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93"/>
    <w:pPr>
      <w:ind w:left="720"/>
      <w:contextualSpacing/>
    </w:pPr>
  </w:style>
  <w:style w:type="table" w:styleId="Tabela-Siatka">
    <w:name w:val="Table Grid"/>
    <w:basedOn w:val="Standardowy"/>
    <w:uiPriority w:val="59"/>
    <w:rsid w:val="001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93"/>
  </w:style>
  <w:style w:type="paragraph" w:styleId="Stopka">
    <w:name w:val="footer"/>
    <w:basedOn w:val="Normalny"/>
    <w:link w:val="Stopka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93"/>
  </w:style>
  <w:style w:type="paragraph" w:styleId="Tekstdymka">
    <w:name w:val="Balloon Text"/>
    <w:basedOn w:val="Normalny"/>
    <w:link w:val="TekstdymkaZnak"/>
    <w:uiPriority w:val="99"/>
    <w:semiHidden/>
    <w:unhideWhenUsed/>
    <w:rsid w:val="007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17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93"/>
    <w:pPr>
      <w:ind w:left="720"/>
      <w:contextualSpacing/>
    </w:pPr>
  </w:style>
  <w:style w:type="table" w:styleId="Tabela-Siatka">
    <w:name w:val="Table Grid"/>
    <w:basedOn w:val="Standardowy"/>
    <w:uiPriority w:val="59"/>
    <w:rsid w:val="001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4</cp:revision>
  <cp:lastPrinted>2021-06-15T07:20:00Z</cp:lastPrinted>
  <dcterms:created xsi:type="dcterms:W3CDTF">2021-06-15T08:00:00Z</dcterms:created>
  <dcterms:modified xsi:type="dcterms:W3CDTF">2021-06-15T10:21:00Z</dcterms:modified>
</cp:coreProperties>
</file>