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95" w:rsidRPr="00D36F13" w:rsidRDefault="00FF7195" w:rsidP="00E911A0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6F13">
        <w:rPr>
          <w:rFonts w:ascii="Times New Roman" w:hAnsi="Times New Roman"/>
          <w:b/>
          <w:sz w:val="24"/>
          <w:szCs w:val="24"/>
        </w:rPr>
        <w:t xml:space="preserve">Szczegółowe zasady </w:t>
      </w:r>
      <w:r w:rsidR="00B412B1">
        <w:rPr>
          <w:rFonts w:ascii="Times New Roman" w:hAnsi="Times New Roman"/>
          <w:b/>
          <w:sz w:val="24"/>
          <w:szCs w:val="24"/>
        </w:rPr>
        <w:t>rekrutacji uzupełniającej</w:t>
      </w:r>
      <w:r w:rsidRPr="00D36F13">
        <w:rPr>
          <w:rFonts w:ascii="Times New Roman" w:hAnsi="Times New Roman"/>
          <w:b/>
          <w:sz w:val="24"/>
          <w:szCs w:val="24"/>
        </w:rPr>
        <w:br/>
        <w:t>w Akademii Sztuk Pięknych w Gdańsku w</w:t>
      </w:r>
      <w:r w:rsidR="00500B26" w:rsidRPr="00D36F13">
        <w:rPr>
          <w:rFonts w:ascii="Times New Roman" w:hAnsi="Times New Roman"/>
          <w:b/>
          <w:sz w:val="24"/>
          <w:szCs w:val="24"/>
        </w:rPr>
        <w:t xml:space="preserve"> roku akademickim </w:t>
      </w:r>
      <w:r w:rsidR="006E264D">
        <w:rPr>
          <w:rFonts w:ascii="Times New Roman" w:hAnsi="Times New Roman"/>
          <w:b/>
          <w:sz w:val="24"/>
          <w:szCs w:val="24"/>
        </w:rPr>
        <w:t>202</w:t>
      </w:r>
      <w:r w:rsidR="009F3975">
        <w:rPr>
          <w:rFonts w:ascii="Times New Roman" w:hAnsi="Times New Roman"/>
          <w:b/>
          <w:sz w:val="24"/>
          <w:szCs w:val="24"/>
        </w:rPr>
        <w:t>3</w:t>
      </w:r>
      <w:r w:rsidR="006E264D">
        <w:rPr>
          <w:rFonts w:ascii="Times New Roman" w:hAnsi="Times New Roman"/>
          <w:b/>
          <w:sz w:val="24"/>
          <w:szCs w:val="24"/>
        </w:rPr>
        <w:t>/202</w:t>
      </w:r>
      <w:r w:rsidR="009F3975">
        <w:rPr>
          <w:rFonts w:ascii="Times New Roman" w:hAnsi="Times New Roman"/>
          <w:b/>
          <w:sz w:val="24"/>
          <w:szCs w:val="24"/>
        </w:rPr>
        <w:t>4</w:t>
      </w:r>
    </w:p>
    <w:p w:rsidR="002628F8" w:rsidRPr="00D36F13" w:rsidRDefault="002628F8" w:rsidP="002628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28F8" w:rsidRPr="00D36F13" w:rsidRDefault="002628F8" w:rsidP="00C4412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36F13">
        <w:rPr>
          <w:rFonts w:ascii="Times New Roman" w:hAnsi="Times New Roman"/>
          <w:sz w:val="24"/>
          <w:szCs w:val="24"/>
        </w:rPr>
        <w:t>O przyjęciu na studia</w:t>
      </w:r>
      <w:r w:rsidR="00DE4B22" w:rsidRPr="00D36F13">
        <w:rPr>
          <w:rFonts w:ascii="Times New Roman" w:hAnsi="Times New Roman"/>
          <w:sz w:val="24"/>
          <w:szCs w:val="24"/>
        </w:rPr>
        <w:t xml:space="preserve"> w Akademii Sztuk Pięknych w Gdańsku</w:t>
      </w:r>
      <w:r w:rsidRPr="00D36F13">
        <w:rPr>
          <w:rFonts w:ascii="Times New Roman" w:hAnsi="Times New Roman"/>
          <w:sz w:val="24"/>
          <w:szCs w:val="24"/>
        </w:rPr>
        <w:t xml:space="preserve"> w </w:t>
      </w:r>
      <w:r w:rsidR="00B412B1">
        <w:rPr>
          <w:rFonts w:ascii="Times New Roman" w:hAnsi="Times New Roman"/>
          <w:sz w:val="24"/>
          <w:szCs w:val="24"/>
        </w:rPr>
        <w:t>rekrutacji uzupełniającej</w:t>
      </w:r>
      <w:r w:rsidR="00D36F13">
        <w:rPr>
          <w:rFonts w:ascii="Times New Roman" w:hAnsi="Times New Roman"/>
          <w:sz w:val="24"/>
          <w:szCs w:val="24"/>
        </w:rPr>
        <w:br/>
      </w:r>
      <w:r w:rsidR="00DE4B22" w:rsidRPr="00D36F13">
        <w:rPr>
          <w:rFonts w:ascii="Times New Roman" w:hAnsi="Times New Roman"/>
          <w:sz w:val="24"/>
          <w:szCs w:val="24"/>
        </w:rPr>
        <w:t xml:space="preserve">w </w:t>
      </w:r>
      <w:r w:rsidRPr="00D36F13">
        <w:rPr>
          <w:rFonts w:ascii="Times New Roman" w:hAnsi="Times New Roman"/>
          <w:sz w:val="24"/>
          <w:szCs w:val="24"/>
        </w:rPr>
        <w:t xml:space="preserve">ramach wolnych miejsc decydują następujące </w:t>
      </w:r>
      <w:r w:rsidR="00DE4B22" w:rsidRPr="00D36F13">
        <w:rPr>
          <w:rFonts w:ascii="Times New Roman" w:hAnsi="Times New Roman"/>
          <w:sz w:val="24"/>
          <w:szCs w:val="24"/>
        </w:rPr>
        <w:t>zasady</w:t>
      </w:r>
      <w:r w:rsidRPr="00D36F13">
        <w:rPr>
          <w:rFonts w:ascii="Times New Roman" w:hAnsi="Times New Roman"/>
          <w:sz w:val="24"/>
          <w:szCs w:val="24"/>
        </w:rPr>
        <w:t>:</w:t>
      </w:r>
    </w:p>
    <w:p w:rsidR="002628F8" w:rsidRPr="00D36F13" w:rsidRDefault="00D30866" w:rsidP="00C44127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</w:rPr>
      </w:pPr>
      <w:r w:rsidRPr="00D36F13">
        <w:rPr>
          <w:rFonts w:ascii="Times New Roman" w:hAnsi="Times New Roman"/>
          <w:sz w:val="24"/>
        </w:rPr>
        <w:t>P</w:t>
      </w:r>
      <w:r w:rsidR="008C48D9" w:rsidRPr="00D36F13">
        <w:rPr>
          <w:rFonts w:ascii="Times New Roman" w:hAnsi="Times New Roman"/>
          <w:sz w:val="24"/>
        </w:rPr>
        <w:t xml:space="preserve">ierwszeństwo w </w:t>
      </w:r>
      <w:r w:rsidR="00D36F13" w:rsidRPr="00D36F13">
        <w:rPr>
          <w:rFonts w:ascii="Times New Roman" w:hAnsi="Times New Roman"/>
          <w:sz w:val="24"/>
        </w:rPr>
        <w:t xml:space="preserve">rekrutacji </w:t>
      </w:r>
      <w:r w:rsidR="00B412B1">
        <w:rPr>
          <w:rFonts w:ascii="Times New Roman" w:hAnsi="Times New Roman"/>
          <w:sz w:val="24"/>
        </w:rPr>
        <w:t>uzupełniającej</w:t>
      </w:r>
      <w:r w:rsidR="008C48D9" w:rsidRPr="00D36F13">
        <w:rPr>
          <w:rFonts w:ascii="Times New Roman" w:hAnsi="Times New Roman"/>
          <w:sz w:val="24"/>
        </w:rPr>
        <w:t xml:space="preserve"> na dany kierunek mają </w:t>
      </w:r>
      <w:r w:rsidR="002628F8" w:rsidRPr="00D36F13">
        <w:rPr>
          <w:rFonts w:ascii="Times New Roman" w:hAnsi="Times New Roman"/>
          <w:sz w:val="24"/>
        </w:rPr>
        <w:t>kandyda</w:t>
      </w:r>
      <w:r w:rsidR="008C48D9" w:rsidRPr="00D36F13">
        <w:rPr>
          <w:rFonts w:ascii="Times New Roman" w:hAnsi="Times New Roman"/>
          <w:sz w:val="24"/>
        </w:rPr>
        <w:t>ci</w:t>
      </w:r>
      <w:r w:rsidR="00DE4B22" w:rsidRPr="00D36F13">
        <w:rPr>
          <w:rFonts w:ascii="Times New Roman" w:hAnsi="Times New Roman"/>
          <w:sz w:val="24"/>
        </w:rPr>
        <w:t>,</w:t>
      </w:r>
      <w:r w:rsidR="002628F8" w:rsidRPr="00D36F13">
        <w:rPr>
          <w:rFonts w:ascii="Times New Roman" w:hAnsi="Times New Roman"/>
          <w:sz w:val="24"/>
        </w:rPr>
        <w:t xml:space="preserve"> którzy </w:t>
      </w:r>
      <w:r w:rsidR="00D36F13">
        <w:rPr>
          <w:rFonts w:ascii="Times New Roman" w:hAnsi="Times New Roman"/>
          <w:sz w:val="24"/>
        </w:rPr>
        <w:br/>
      </w:r>
      <w:r w:rsidR="002628F8" w:rsidRPr="00D36F13">
        <w:rPr>
          <w:rFonts w:ascii="Times New Roman" w:hAnsi="Times New Roman"/>
          <w:sz w:val="24"/>
        </w:rPr>
        <w:t xml:space="preserve">w podstawowym postępowaniu rekrutacyjnym zdawali egzamin wstępny na kierunek </w:t>
      </w:r>
      <w:r w:rsidR="00D36F13">
        <w:rPr>
          <w:rFonts w:ascii="Times New Roman" w:hAnsi="Times New Roman"/>
          <w:sz w:val="24"/>
        </w:rPr>
        <w:br/>
      </w:r>
      <w:r w:rsidR="002628F8" w:rsidRPr="00D36F13">
        <w:rPr>
          <w:rFonts w:ascii="Times New Roman" w:hAnsi="Times New Roman"/>
          <w:sz w:val="24"/>
        </w:rPr>
        <w:t>z dyscypliny pokrewnej według poniższej tabeli</w:t>
      </w:r>
      <w:r w:rsidR="008C48D9" w:rsidRPr="00D36F13">
        <w:rPr>
          <w:rFonts w:ascii="Times New Roman" w:hAnsi="Times New Roman"/>
          <w:sz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3615"/>
        <w:gridCol w:w="4329"/>
      </w:tblGrid>
      <w:tr w:rsidR="00B43BB9" w:rsidRPr="00D674C6" w:rsidTr="00B43BB9">
        <w:trPr>
          <w:jc w:val="center"/>
        </w:trPr>
        <w:tc>
          <w:tcPr>
            <w:tcW w:w="583" w:type="dxa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D674C6">
              <w:rPr>
                <w:rFonts w:ascii="Times New Roman" w:hAnsi="Times New Roman"/>
                <w:b/>
                <w:sz w:val="24"/>
              </w:rPr>
              <w:t>L.P</w:t>
            </w:r>
          </w:p>
        </w:tc>
        <w:tc>
          <w:tcPr>
            <w:tcW w:w="3615" w:type="dxa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D674C6">
              <w:rPr>
                <w:rFonts w:ascii="Times New Roman" w:hAnsi="Times New Roman"/>
                <w:b/>
                <w:sz w:val="24"/>
              </w:rPr>
              <w:t>Kierunek w podstawowym postępowaniu rekrutacyjnym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:rsidR="00B43BB9" w:rsidRPr="00D674C6" w:rsidRDefault="00B43BB9" w:rsidP="00B412B1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D674C6">
              <w:rPr>
                <w:rFonts w:ascii="Times New Roman" w:hAnsi="Times New Roman"/>
                <w:b/>
                <w:sz w:val="24"/>
              </w:rPr>
              <w:t xml:space="preserve">Kierunek pokrewny </w:t>
            </w:r>
            <w:r w:rsidRPr="00D674C6">
              <w:rPr>
                <w:rFonts w:ascii="Times New Roman" w:hAnsi="Times New Roman"/>
                <w:b/>
                <w:sz w:val="24"/>
              </w:rPr>
              <w:br/>
              <w:t xml:space="preserve">w </w:t>
            </w:r>
            <w:r w:rsidR="00B412B1">
              <w:rPr>
                <w:rFonts w:ascii="Times New Roman" w:hAnsi="Times New Roman"/>
                <w:b/>
                <w:sz w:val="24"/>
              </w:rPr>
              <w:t xml:space="preserve">rekrutacji </w:t>
            </w:r>
            <w:r w:rsidR="001926C2">
              <w:rPr>
                <w:rFonts w:ascii="Times New Roman" w:hAnsi="Times New Roman"/>
                <w:b/>
                <w:sz w:val="24"/>
              </w:rPr>
              <w:t>uzupełaniającej</w:t>
            </w:r>
          </w:p>
        </w:tc>
      </w:tr>
      <w:tr w:rsidR="00B43BB9" w:rsidRPr="00D674C6" w:rsidTr="00B43BB9">
        <w:trPr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B43BB9" w:rsidRPr="00D674C6" w:rsidTr="00B43BB9">
        <w:trPr>
          <w:trHeight w:val="39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B43BB9" w:rsidRPr="00D674C6" w:rsidTr="00B43BB9">
        <w:trPr>
          <w:trHeight w:val="418"/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15" w:type="dxa"/>
            <w:vMerge w:val="restart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B43BB9" w:rsidRPr="00D674C6" w:rsidTr="00B43BB9">
        <w:trPr>
          <w:trHeight w:val="41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B43BB9" w:rsidRPr="00D674C6" w:rsidTr="00B43BB9">
        <w:trPr>
          <w:trHeight w:val="402"/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B43BB9" w:rsidRPr="00D674C6" w:rsidTr="00B43BB9">
        <w:trPr>
          <w:trHeight w:val="436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Grafika,</w:t>
            </w:r>
          </w:p>
        </w:tc>
      </w:tr>
      <w:tr w:rsidR="00B43BB9" w:rsidRPr="00D674C6" w:rsidTr="00B43BB9">
        <w:trPr>
          <w:trHeight w:val="12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B43BB9" w:rsidRPr="00D674C6" w:rsidRDefault="00B43BB9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9F3975" w:rsidRPr="00D674C6" w:rsidTr="00B43BB9">
        <w:trPr>
          <w:trHeight w:val="66"/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615" w:type="dxa"/>
            <w:vMerge w:val="restart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</w:t>
            </w: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Malarstwo</w:t>
            </w:r>
          </w:p>
        </w:tc>
      </w:tr>
      <w:tr w:rsidR="009F3975" w:rsidRPr="00D674C6" w:rsidTr="00B43BB9">
        <w:trPr>
          <w:trHeight w:val="66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Rzeźba</w:t>
            </w:r>
          </w:p>
        </w:tc>
      </w:tr>
      <w:tr w:rsidR="009F3975" w:rsidRPr="00D674C6" w:rsidTr="00B43BB9">
        <w:trPr>
          <w:trHeight w:val="66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Intermedia</w:t>
            </w:r>
          </w:p>
        </w:tc>
      </w:tr>
      <w:tr w:rsidR="009F3975" w:rsidRPr="00D674C6" w:rsidTr="00B43BB9">
        <w:trPr>
          <w:trHeight w:val="66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9F3975" w:rsidRPr="00D674C6" w:rsidTr="00B43BB9">
        <w:trPr>
          <w:trHeight w:val="8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9F3975" w:rsidRPr="00D674C6" w:rsidTr="00B43BB9">
        <w:trPr>
          <w:trHeight w:val="8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9F3975" w:rsidRPr="00D674C6" w:rsidTr="00B43BB9">
        <w:trPr>
          <w:trHeight w:val="80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Fotografia </w:t>
            </w:r>
          </w:p>
        </w:tc>
      </w:tr>
      <w:tr w:rsidR="009F3975" w:rsidRPr="00D674C6" w:rsidTr="00B43BB9">
        <w:trPr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Rzeźba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Intermedia</w:t>
            </w:r>
          </w:p>
        </w:tc>
      </w:tr>
      <w:tr w:rsidR="009F3975" w:rsidRPr="00D674C6" w:rsidTr="00B43BB9">
        <w:trPr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Malarstwo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FA5FFE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Fotografia </w:t>
            </w:r>
          </w:p>
        </w:tc>
      </w:tr>
      <w:tr w:rsidR="009F3975" w:rsidRPr="00D674C6" w:rsidTr="009F3975">
        <w:trPr>
          <w:jc w:val="center"/>
        </w:trPr>
        <w:tc>
          <w:tcPr>
            <w:tcW w:w="583" w:type="dxa"/>
            <w:vMerge w:val="restart"/>
            <w:shd w:val="clear" w:color="auto" w:fill="A6A6A6" w:themeFill="background1" w:themeFillShade="A6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615" w:type="dxa"/>
            <w:vMerge w:val="restart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Intermedia</w:t>
            </w: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Rzeźba</w:t>
            </w:r>
          </w:p>
        </w:tc>
      </w:tr>
      <w:tr w:rsidR="009F3975" w:rsidRPr="00D674C6" w:rsidTr="009F3975">
        <w:trPr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Malarstwo</w:t>
            </w:r>
          </w:p>
        </w:tc>
      </w:tr>
      <w:tr w:rsidR="009F3975" w:rsidRPr="00D674C6" w:rsidTr="009F3975">
        <w:trPr>
          <w:trHeight w:val="6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</w:t>
            </w:r>
          </w:p>
        </w:tc>
      </w:tr>
      <w:tr w:rsidR="009F3975" w:rsidRPr="00D674C6" w:rsidTr="009F3975">
        <w:trPr>
          <w:trHeight w:val="6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vAlign w:val="center"/>
          </w:tcPr>
          <w:p w:rsidR="009F3975" w:rsidRPr="00D674C6" w:rsidRDefault="009F3975" w:rsidP="00051359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Fotografia 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 w:val="restart"/>
            <w:shd w:val="clear" w:color="auto" w:fill="A6A6A6" w:themeFill="background1" w:themeFillShade="A6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Fotografia 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Rzeźba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Malarstwo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9F3975" w:rsidRPr="00D674C6" w:rsidTr="009F3975">
        <w:trPr>
          <w:trHeight w:val="120"/>
          <w:jc w:val="center"/>
        </w:trPr>
        <w:tc>
          <w:tcPr>
            <w:tcW w:w="583" w:type="dxa"/>
            <w:vMerge/>
            <w:shd w:val="clear" w:color="auto" w:fill="A6A6A6" w:themeFill="background1" w:themeFillShade="A6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Intermedia </w:t>
            </w:r>
          </w:p>
        </w:tc>
      </w:tr>
      <w:tr w:rsidR="009F3975" w:rsidRPr="00D674C6" w:rsidTr="00B43BB9">
        <w:trPr>
          <w:jc w:val="center"/>
        </w:trPr>
        <w:tc>
          <w:tcPr>
            <w:tcW w:w="583" w:type="dxa"/>
            <w:vMerge w:val="restart"/>
            <w:shd w:val="clear" w:color="auto" w:fill="BFBFBF" w:themeFill="background1" w:themeFillShade="BF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  <w:r w:rsidRPr="00D674C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15" w:type="dxa"/>
            <w:vMerge w:val="restart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Malarstwo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Rzeźba</w:t>
            </w:r>
          </w:p>
        </w:tc>
      </w:tr>
      <w:tr w:rsidR="009F3975" w:rsidRPr="00D674C6" w:rsidTr="00B43BB9">
        <w:trPr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Intermedia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Grafika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przestrzeni kulturowych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Wzornictwo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 w:rsidRPr="00D674C6">
              <w:rPr>
                <w:rFonts w:ascii="Times New Roman" w:hAnsi="Times New Roman"/>
                <w:sz w:val="24"/>
              </w:rPr>
              <w:t>Architektura Wnętrz</w:t>
            </w:r>
          </w:p>
        </w:tc>
      </w:tr>
      <w:tr w:rsidR="009F3975" w:rsidRPr="00D674C6" w:rsidTr="00B43BB9">
        <w:trPr>
          <w:trHeight w:val="48"/>
          <w:jc w:val="center"/>
        </w:trPr>
        <w:tc>
          <w:tcPr>
            <w:tcW w:w="583" w:type="dxa"/>
            <w:vMerge/>
            <w:shd w:val="clear" w:color="auto" w:fill="BFBFBF" w:themeFill="background1" w:themeFillShade="BF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5" w:type="dxa"/>
            <w:vMerge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:rsidR="009F3975" w:rsidRPr="00D674C6" w:rsidRDefault="009F3975" w:rsidP="009F3975">
            <w:pPr>
              <w:pStyle w:val="Akapitzlist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Fotografia</w:t>
            </w:r>
          </w:p>
        </w:tc>
      </w:tr>
    </w:tbl>
    <w:p w:rsidR="002628F8" w:rsidRPr="00D36F13" w:rsidRDefault="002628F8" w:rsidP="002628F8">
      <w:pPr>
        <w:pStyle w:val="Akapitzlist"/>
        <w:ind w:left="1364"/>
        <w:jc w:val="both"/>
        <w:rPr>
          <w:rFonts w:ascii="Times New Roman" w:hAnsi="Times New Roman"/>
          <w:sz w:val="24"/>
        </w:rPr>
      </w:pPr>
    </w:p>
    <w:p w:rsidR="002628F8" w:rsidRPr="00D36F13" w:rsidRDefault="00D30866" w:rsidP="00C44127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</w:rPr>
      </w:pPr>
      <w:r w:rsidRPr="00D36F13">
        <w:rPr>
          <w:rFonts w:ascii="Times New Roman" w:hAnsi="Times New Roman"/>
          <w:sz w:val="24"/>
        </w:rPr>
        <w:t>W</w:t>
      </w:r>
      <w:r w:rsidR="002628F8" w:rsidRPr="00D36F13">
        <w:rPr>
          <w:rFonts w:ascii="Times New Roman" w:hAnsi="Times New Roman"/>
          <w:sz w:val="24"/>
        </w:rPr>
        <w:t xml:space="preserve"> przypadku braku kandydatów spełniających kryteria zawarte w </w:t>
      </w:r>
      <w:r w:rsidR="00C44127" w:rsidRPr="00D36F13">
        <w:rPr>
          <w:rFonts w:ascii="Times New Roman" w:hAnsi="Times New Roman"/>
          <w:sz w:val="24"/>
        </w:rPr>
        <w:t>punkcie</w:t>
      </w:r>
      <w:r w:rsidR="00500B26" w:rsidRPr="00D36F13">
        <w:rPr>
          <w:rFonts w:ascii="Times New Roman" w:hAnsi="Times New Roman"/>
          <w:sz w:val="24"/>
        </w:rPr>
        <w:t xml:space="preserve"> </w:t>
      </w:r>
      <w:r w:rsidR="00C44127" w:rsidRPr="00D36F13">
        <w:rPr>
          <w:rFonts w:ascii="Times New Roman" w:hAnsi="Times New Roman"/>
          <w:sz w:val="24"/>
        </w:rPr>
        <w:t>1</w:t>
      </w:r>
      <w:r w:rsidR="00500B26" w:rsidRPr="00D36F13">
        <w:rPr>
          <w:rFonts w:ascii="Times New Roman" w:hAnsi="Times New Roman"/>
          <w:sz w:val="24"/>
        </w:rPr>
        <w:t xml:space="preserve"> </w:t>
      </w:r>
      <w:r w:rsidR="008C48D9" w:rsidRPr="00D36F13">
        <w:rPr>
          <w:rFonts w:ascii="Times New Roman" w:hAnsi="Times New Roman"/>
          <w:sz w:val="24"/>
        </w:rPr>
        <w:t xml:space="preserve">powyżej </w:t>
      </w:r>
      <w:r w:rsidR="007E5835" w:rsidRPr="00D36F13">
        <w:rPr>
          <w:rFonts w:ascii="Times New Roman" w:hAnsi="Times New Roman"/>
          <w:sz w:val="24"/>
        </w:rPr>
        <w:t xml:space="preserve">lub </w:t>
      </w:r>
      <w:r w:rsidR="00A85985" w:rsidRPr="00D36F13">
        <w:rPr>
          <w:rFonts w:ascii="Times New Roman" w:hAnsi="Times New Roman"/>
          <w:sz w:val="24"/>
        </w:rPr>
        <w:br/>
      </w:r>
      <w:r w:rsidR="007E5835" w:rsidRPr="00D36F13">
        <w:rPr>
          <w:rFonts w:ascii="Times New Roman" w:hAnsi="Times New Roman"/>
          <w:sz w:val="24"/>
        </w:rPr>
        <w:t>w sytuacji, gdy kandydaci spełniający kryteria zawarte w</w:t>
      </w:r>
      <w:r w:rsidR="00AB021A" w:rsidRPr="00D36F13">
        <w:rPr>
          <w:rFonts w:ascii="Times New Roman" w:hAnsi="Times New Roman"/>
          <w:sz w:val="24"/>
        </w:rPr>
        <w:t xml:space="preserve"> </w:t>
      </w:r>
      <w:r w:rsidRPr="00D36F13">
        <w:rPr>
          <w:rFonts w:ascii="Times New Roman" w:hAnsi="Times New Roman"/>
          <w:sz w:val="24"/>
        </w:rPr>
        <w:t>punkcie</w:t>
      </w:r>
      <w:r w:rsidR="007E5835" w:rsidRPr="00D36F13">
        <w:rPr>
          <w:rFonts w:ascii="Times New Roman" w:hAnsi="Times New Roman"/>
          <w:sz w:val="24"/>
        </w:rPr>
        <w:t xml:space="preserve"> 1 powyżej nie wypełnią w ramach </w:t>
      </w:r>
      <w:r w:rsidR="00B2201C">
        <w:rPr>
          <w:rFonts w:ascii="Times New Roman" w:hAnsi="Times New Roman"/>
          <w:sz w:val="24"/>
        </w:rPr>
        <w:t>rekrutacji uzupełniającej</w:t>
      </w:r>
      <w:r w:rsidR="007E5835" w:rsidRPr="00D36F13">
        <w:rPr>
          <w:rFonts w:ascii="Times New Roman" w:hAnsi="Times New Roman"/>
          <w:sz w:val="24"/>
        </w:rPr>
        <w:t xml:space="preserve"> wszystkich wolnych miejsc na danym kierunku studiów</w:t>
      </w:r>
      <w:r w:rsidRPr="00D36F13">
        <w:rPr>
          <w:rFonts w:ascii="Times New Roman" w:hAnsi="Times New Roman"/>
          <w:sz w:val="24"/>
        </w:rPr>
        <w:t>,</w:t>
      </w:r>
      <w:r w:rsidR="007E5835" w:rsidRPr="00D36F13">
        <w:rPr>
          <w:rFonts w:ascii="Times New Roman" w:hAnsi="Times New Roman"/>
          <w:sz w:val="24"/>
        </w:rPr>
        <w:t xml:space="preserve"> w </w:t>
      </w:r>
      <w:r w:rsidR="00D36F13" w:rsidRPr="00D36F13">
        <w:rPr>
          <w:rFonts w:ascii="Times New Roman" w:hAnsi="Times New Roman"/>
          <w:sz w:val="24"/>
        </w:rPr>
        <w:t xml:space="preserve">rekrutacyjnym rekrutacji </w:t>
      </w:r>
      <w:r w:rsidR="00B2201C">
        <w:rPr>
          <w:rFonts w:ascii="Times New Roman" w:hAnsi="Times New Roman"/>
          <w:sz w:val="24"/>
        </w:rPr>
        <w:t>uzupełniające</w:t>
      </w:r>
      <w:r w:rsidR="00D36F13" w:rsidRPr="00D36F13">
        <w:rPr>
          <w:rFonts w:ascii="Times New Roman" w:hAnsi="Times New Roman"/>
          <w:sz w:val="24"/>
        </w:rPr>
        <w:t>j</w:t>
      </w:r>
      <w:r w:rsidR="007E5835" w:rsidRPr="00D36F13">
        <w:rPr>
          <w:rFonts w:ascii="Times New Roman" w:hAnsi="Times New Roman"/>
          <w:sz w:val="24"/>
        </w:rPr>
        <w:t xml:space="preserve"> </w:t>
      </w:r>
      <w:r w:rsidR="002628F8" w:rsidRPr="00D36F13">
        <w:rPr>
          <w:rFonts w:ascii="Times New Roman" w:hAnsi="Times New Roman"/>
          <w:sz w:val="24"/>
        </w:rPr>
        <w:t>biorą udział kandydaci, którzy w podstawowym postępowaniu rekrutacyjnym zdawali egzamin wstępny na kierunek z dyscypliny innej</w:t>
      </w:r>
      <w:r w:rsidR="008C48D9" w:rsidRPr="00D36F13">
        <w:rPr>
          <w:rFonts w:ascii="Times New Roman" w:hAnsi="Times New Roman"/>
          <w:sz w:val="24"/>
        </w:rPr>
        <w:t xml:space="preserve"> aniżeli kierunek pokrewny</w:t>
      </w:r>
      <w:r w:rsidR="002628F8" w:rsidRPr="00D36F13">
        <w:rPr>
          <w:rFonts w:ascii="Times New Roman" w:hAnsi="Times New Roman"/>
          <w:sz w:val="24"/>
        </w:rPr>
        <w:t>.</w:t>
      </w:r>
    </w:p>
    <w:p w:rsidR="002628F8" w:rsidRPr="00D36F13" w:rsidRDefault="00D30866" w:rsidP="00C44127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</w:rPr>
      </w:pPr>
      <w:r w:rsidRPr="00D36F13">
        <w:rPr>
          <w:rFonts w:ascii="Times New Roman" w:hAnsi="Times New Roman"/>
          <w:sz w:val="24"/>
        </w:rPr>
        <w:t>P</w:t>
      </w:r>
      <w:r w:rsidR="000F0AB2" w:rsidRPr="00D36F13">
        <w:rPr>
          <w:rFonts w:ascii="Times New Roman" w:hAnsi="Times New Roman"/>
          <w:sz w:val="24"/>
        </w:rPr>
        <w:t xml:space="preserve">o zakończeniu składania przez kandydatów podań o przyjęcie na studia w ramach </w:t>
      </w:r>
      <w:r w:rsidR="00D36F13" w:rsidRPr="00D36F13">
        <w:rPr>
          <w:rFonts w:ascii="Times New Roman" w:hAnsi="Times New Roman"/>
          <w:sz w:val="24"/>
        </w:rPr>
        <w:t xml:space="preserve">rekrutacji </w:t>
      </w:r>
      <w:r w:rsidR="00B2201C">
        <w:rPr>
          <w:rFonts w:ascii="Times New Roman" w:hAnsi="Times New Roman"/>
          <w:sz w:val="24"/>
        </w:rPr>
        <w:t xml:space="preserve">uzupełaniającej </w:t>
      </w:r>
      <w:r w:rsidR="000F0AB2" w:rsidRPr="00D36F13">
        <w:rPr>
          <w:rFonts w:ascii="Times New Roman" w:hAnsi="Times New Roman"/>
          <w:sz w:val="24"/>
        </w:rPr>
        <w:t>ustala się</w:t>
      </w:r>
      <w:r w:rsidR="002628F8" w:rsidRPr="00D36F13">
        <w:rPr>
          <w:rFonts w:ascii="Times New Roman" w:hAnsi="Times New Roman"/>
          <w:sz w:val="24"/>
        </w:rPr>
        <w:t xml:space="preserve"> procentow</w:t>
      </w:r>
      <w:r w:rsidR="000F0AB2" w:rsidRPr="00D36F13">
        <w:rPr>
          <w:rFonts w:ascii="Times New Roman" w:hAnsi="Times New Roman"/>
          <w:sz w:val="24"/>
        </w:rPr>
        <w:t>ą wartość punktów uzyskanych prze</w:t>
      </w:r>
      <w:r w:rsidR="002C3E31" w:rsidRPr="00D36F13">
        <w:rPr>
          <w:rFonts w:ascii="Times New Roman" w:hAnsi="Times New Roman"/>
          <w:sz w:val="24"/>
        </w:rPr>
        <w:t>z kandydata</w:t>
      </w:r>
      <w:r w:rsidR="000F0AB2" w:rsidRPr="00D36F13">
        <w:rPr>
          <w:rFonts w:ascii="Times New Roman" w:hAnsi="Times New Roman"/>
          <w:sz w:val="24"/>
        </w:rPr>
        <w:t xml:space="preserve"> w podstawowym postępowaniu rekrutacyjnym poprzez </w:t>
      </w:r>
      <w:r w:rsidR="00281858" w:rsidRPr="00D36F13">
        <w:rPr>
          <w:rFonts w:ascii="Times New Roman" w:hAnsi="Times New Roman"/>
          <w:sz w:val="24"/>
        </w:rPr>
        <w:t>porównanie</w:t>
      </w:r>
      <w:r w:rsidR="000F0AB2" w:rsidRPr="00D36F13">
        <w:rPr>
          <w:rFonts w:ascii="Times New Roman" w:hAnsi="Times New Roman"/>
          <w:sz w:val="24"/>
        </w:rPr>
        <w:t xml:space="preserve"> liczby </w:t>
      </w:r>
      <w:r w:rsidR="002628F8" w:rsidRPr="00D36F13">
        <w:rPr>
          <w:rFonts w:ascii="Times New Roman" w:hAnsi="Times New Roman"/>
          <w:sz w:val="24"/>
        </w:rPr>
        <w:t>uzyskanych</w:t>
      </w:r>
      <w:r w:rsidR="000F0AB2" w:rsidRPr="00D36F13">
        <w:rPr>
          <w:rFonts w:ascii="Times New Roman" w:hAnsi="Times New Roman"/>
          <w:sz w:val="24"/>
        </w:rPr>
        <w:t xml:space="preserve"> przez kandydata</w:t>
      </w:r>
      <w:r w:rsidR="002628F8" w:rsidRPr="00D36F13">
        <w:rPr>
          <w:rFonts w:ascii="Times New Roman" w:hAnsi="Times New Roman"/>
          <w:sz w:val="24"/>
        </w:rPr>
        <w:t xml:space="preserve"> punktów w</w:t>
      </w:r>
      <w:r w:rsidR="000F0AB2" w:rsidRPr="00D36F13">
        <w:rPr>
          <w:rFonts w:ascii="Times New Roman" w:hAnsi="Times New Roman"/>
          <w:sz w:val="24"/>
        </w:rPr>
        <w:t xml:space="preserve"> podstawowym postępowaniu rekrutacyjnym </w:t>
      </w:r>
      <w:r w:rsidR="00D36F13">
        <w:rPr>
          <w:rFonts w:ascii="Times New Roman" w:hAnsi="Times New Roman"/>
          <w:sz w:val="24"/>
        </w:rPr>
        <w:br/>
      </w:r>
      <w:r w:rsidR="00281858" w:rsidRPr="00D36F13">
        <w:rPr>
          <w:rFonts w:ascii="Times New Roman" w:hAnsi="Times New Roman"/>
          <w:sz w:val="24"/>
        </w:rPr>
        <w:t xml:space="preserve">w </w:t>
      </w:r>
      <w:r w:rsidR="002628F8" w:rsidRPr="00D36F13">
        <w:rPr>
          <w:rFonts w:ascii="Times New Roman" w:hAnsi="Times New Roman"/>
          <w:sz w:val="24"/>
        </w:rPr>
        <w:t>stosunku do ma</w:t>
      </w:r>
      <w:r w:rsidR="000F0AB2" w:rsidRPr="00D36F13">
        <w:rPr>
          <w:rFonts w:ascii="Times New Roman" w:hAnsi="Times New Roman"/>
          <w:sz w:val="24"/>
        </w:rPr>
        <w:t>ks</w:t>
      </w:r>
      <w:r w:rsidR="00281858" w:rsidRPr="00D36F13">
        <w:rPr>
          <w:rFonts w:ascii="Times New Roman" w:hAnsi="Times New Roman"/>
          <w:sz w:val="24"/>
        </w:rPr>
        <w:t>ymalnej</w:t>
      </w:r>
      <w:r w:rsidR="002628F8" w:rsidRPr="00D36F13">
        <w:rPr>
          <w:rFonts w:ascii="Times New Roman" w:hAnsi="Times New Roman"/>
          <w:sz w:val="24"/>
        </w:rPr>
        <w:t xml:space="preserve"> liczby punktów jaką można było uzyskać </w:t>
      </w:r>
      <w:r w:rsidR="00D674C6" w:rsidRPr="00D36F13">
        <w:rPr>
          <w:rFonts w:ascii="Times New Roman" w:hAnsi="Times New Roman"/>
          <w:sz w:val="24"/>
        </w:rPr>
        <w:br/>
      </w:r>
      <w:r w:rsidR="002628F8" w:rsidRPr="00D36F13">
        <w:rPr>
          <w:rFonts w:ascii="Times New Roman" w:hAnsi="Times New Roman"/>
          <w:sz w:val="24"/>
        </w:rPr>
        <w:t>w podstawowym postępowaniu rekrutacyjnym.</w:t>
      </w:r>
    </w:p>
    <w:p w:rsidR="002628F8" w:rsidRPr="00D36F13" w:rsidRDefault="00D30866" w:rsidP="00D674C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</w:rPr>
      </w:pPr>
      <w:r w:rsidRPr="00D36F13">
        <w:rPr>
          <w:rFonts w:ascii="Times New Roman" w:hAnsi="Times New Roman"/>
          <w:sz w:val="24"/>
        </w:rPr>
        <w:t>L</w:t>
      </w:r>
      <w:r w:rsidR="002628F8" w:rsidRPr="00D36F13">
        <w:rPr>
          <w:rFonts w:ascii="Times New Roman" w:hAnsi="Times New Roman"/>
          <w:sz w:val="24"/>
        </w:rPr>
        <w:t>ist</w:t>
      </w:r>
      <w:r w:rsidR="00C44127" w:rsidRPr="00D36F13">
        <w:rPr>
          <w:rFonts w:ascii="Times New Roman" w:hAnsi="Times New Roman"/>
          <w:sz w:val="24"/>
        </w:rPr>
        <w:t>ę</w:t>
      </w:r>
      <w:r w:rsidR="002628F8" w:rsidRPr="00D36F13">
        <w:rPr>
          <w:rFonts w:ascii="Times New Roman" w:hAnsi="Times New Roman"/>
          <w:sz w:val="24"/>
        </w:rPr>
        <w:t xml:space="preserve"> rankingow</w:t>
      </w:r>
      <w:r w:rsidR="00281858" w:rsidRPr="00D36F13">
        <w:rPr>
          <w:rFonts w:ascii="Times New Roman" w:hAnsi="Times New Roman"/>
          <w:sz w:val="24"/>
        </w:rPr>
        <w:t>ą</w:t>
      </w:r>
      <w:r w:rsidR="00A85985" w:rsidRPr="00D36F13">
        <w:rPr>
          <w:rFonts w:ascii="Times New Roman" w:hAnsi="Times New Roman"/>
          <w:sz w:val="24"/>
        </w:rPr>
        <w:t xml:space="preserve"> </w:t>
      </w:r>
      <w:r w:rsidR="000F0AB2" w:rsidRPr="00D36F13">
        <w:rPr>
          <w:rFonts w:ascii="Times New Roman" w:hAnsi="Times New Roman"/>
          <w:sz w:val="24"/>
        </w:rPr>
        <w:t xml:space="preserve">na dany kierunek studiów w </w:t>
      </w:r>
      <w:r w:rsidR="00B2201C">
        <w:rPr>
          <w:rFonts w:ascii="Times New Roman" w:hAnsi="Times New Roman"/>
          <w:sz w:val="24"/>
        </w:rPr>
        <w:t xml:space="preserve">rekrutacji </w:t>
      </w:r>
      <w:r w:rsidR="000F0AB2" w:rsidRPr="00D36F13">
        <w:rPr>
          <w:rFonts w:ascii="Times New Roman" w:hAnsi="Times New Roman"/>
          <w:sz w:val="24"/>
        </w:rPr>
        <w:t>uzupełniając</w:t>
      </w:r>
      <w:r w:rsidR="00B2201C">
        <w:rPr>
          <w:rFonts w:ascii="Times New Roman" w:hAnsi="Times New Roman"/>
          <w:sz w:val="24"/>
        </w:rPr>
        <w:t>ej</w:t>
      </w:r>
      <w:r w:rsidR="000F0AB2" w:rsidRPr="00D36F13">
        <w:rPr>
          <w:rFonts w:ascii="Times New Roman" w:hAnsi="Times New Roman"/>
          <w:sz w:val="24"/>
        </w:rPr>
        <w:t xml:space="preserve"> </w:t>
      </w:r>
      <w:r w:rsidR="00C44127" w:rsidRPr="00D36F13">
        <w:rPr>
          <w:rFonts w:ascii="Times New Roman" w:hAnsi="Times New Roman"/>
          <w:sz w:val="24"/>
        </w:rPr>
        <w:t xml:space="preserve">układa się </w:t>
      </w:r>
      <w:r w:rsidR="002628F8" w:rsidRPr="00D36F13">
        <w:rPr>
          <w:rFonts w:ascii="Times New Roman" w:hAnsi="Times New Roman"/>
          <w:sz w:val="24"/>
        </w:rPr>
        <w:t>według</w:t>
      </w:r>
      <w:r w:rsidR="000F0AB2" w:rsidRPr="00D36F13">
        <w:rPr>
          <w:rFonts w:ascii="Times New Roman" w:hAnsi="Times New Roman"/>
          <w:sz w:val="24"/>
        </w:rPr>
        <w:t xml:space="preserve"> procentowej</w:t>
      </w:r>
      <w:r w:rsidR="00C44127" w:rsidRPr="00D36F13">
        <w:rPr>
          <w:rFonts w:ascii="Times New Roman" w:hAnsi="Times New Roman"/>
          <w:sz w:val="24"/>
        </w:rPr>
        <w:t xml:space="preserve"> wartości</w:t>
      </w:r>
      <w:r w:rsidR="000F0AB2" w:rsidRPr="00D36F13">
        <w:rPr>
          <w:rFonts w:ascii="Times New Roman" w:hAnsi="Times New Roman"/>
          <w:sz w:val="24"/>
        </w:rPr>
        <w:t xml:space="preserve"> punktów </w:t>
      </w:r>
      <w:r w:rsidR="00C44127" w:rsidRPr="00D36F13">
        <w:rPr>
          <w:rFonts w:ascii="Times New Roman" w:hAnsi="Times New Roman"/>
          <w:sz w:val="24"/>
        </w:rPr>
        <w:t>uzyskanych przez kandydatów zgodnie z punktem</w:t>
      </w:r>
      <w:r w:rsidR="00500B26" w:rsidRPr="00D36F13">
        <w:rPr>
          <w:rFonts w:ascii="Times New Roman" w:hAnsi="Times New Roman"/>
          <w:sz w:val="24"/>
        </w:rPr>
        <w:t xml:space="preserve"> </w:t>
      </w:r>
      <w:r w:rsidR="00C44127" w:rsidRPr="00D36F13">
        <w:rPr>
          <w:rFonts w:ascii="Times New Roman" w:hAnsi="Times New Roman"/>
          <w:sz w:val="24"/>
        </w:rPr>
        <w:t>3 powyżej</w:t>
      </w:r>
      <w:r w:rsidRPr="00D36F13">
        <w:rPr>
          <w:rFonts w:ascii="Times New Roman" w:hAnsi="Times New Roman"/>
          <w:sz w:val="24"/>
        </w:rPr>
        <w:t>, z zastrzeżeniem</w:t>
      </w:r>
      <w:r w:rsidR="00724353">
        <w:rPr>
          <w:rFonts w:ascii="Times New Roman" w:hAnsi="Times New Roman"/>
          <w:sz w:val="24"/>
        </w:rPr>
        <w:t>,</w:t>
      </w:r>
      <w:r w:rsidRPr="00D36F13">
        <w:rPr>
          <w:rFonts w:ascii="Times New Roman" w:hAnsi="Times New Roman"/>
          <w:sz w:val="24"/>
        </w:rPr>
        <w:t xml:space="preserve"> że pierwszeństwo </w:t>
      </w:r>
      <w:r w:rsidR="00D36F13">
        <w:rPr>
          <w:rFonts w:ascii="Times New Roman" w:hAnsi="Times New Roman"/>
          <w:sz w:val="24"/>
        </w:rPr>
        <w:t>w</w:t>
      </w:r>
      <w:r w:rsidR="00D36F13" w:rsidRPr="00D36F13">
        <w:rPr>
          <w:rFonts w:ascii="Times New Roman" w:hAnsi="Times New Roman"/>
          <w:sz w:val="24"/>
        </w:rPr>
        <w:t xml:space="preserve"> rekrutacji</w:t>
      </w:r>
      <w:r w:rsidR="00B2201C">
        <w:rPr>
          <w:rFonts w:ascii="Times New Roman" w:hAnsi="Times New Roman"/>
          <w:sz w:val="24"/>
        </w:rPr>
        <w:t xml:space="preserve"> uzupełaniającej</w:t>
      </w:r>
      <w:r w:rsidRPr="00D36F13">
        <w:rPr>
          <w:rFonts w:ascii="Times New Roman" w:hAnsi="Times New Roman"/>
          <w:sz w:val="24"/>
        </w:rPr>
        <w:t xml:space="preserve"> na dany kierunek mają kandydaci, którzy w podstawowym postępowaniu rekrutacyjnym zdawali egzamin wstępny na kierunek z dyscypliny pokrewnej zgodnie z punktem 1 powyżej.</w:t>
      </w:r>
    </w:p>
    <w:p w:rsidR="007F522C" w:rsidRPr="00D36F13" w:rsidRDefault="007F522C" w:rsidP="00C44127">
      <w:pPr>
        <w:pStyle w:val="Akapitzlist"/>
        <w:spacing w:after="120"/>
        <w:ind w:left="357"/>
        <w:contextualSpacing w:val="0"/>
        <w:jc w:val="both"/>
        <w:rPr>
          <w:rFonts w:ascii="Times New Roman" w:hAnsi="Times New Roman"/>
          <w:sz w:val="24"/>
        </w:rPr>
      </w:pPr>
    </w:p>
    <w:sectPr w:rsidR="007F522C" w:rsidRPr="00D36F13" w:rsidSect="00464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5F" w:rsidRDefault="00952D5F" w:rsidP="00E911A0">
      <w:pPr>
        <w:spacing w:after="0" w:line="240" w:lineRule="auto"/>
      </w:pPr>
      <w:r>
        <w:separator/>
      </w:r>
    </w:p>
  </w:endnote>
  <w:endnote w:type="continuationSeparator" w:id="0">
    <w:p w:rsidR="00952D5F" w:rsidRDefault="00952D5F" w:rsidP="00E9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75" w:rsidRDefault="009F39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75" w:rsidRDefault="009F39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75" w:rsidRDefault="009F39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5F" w:rsidRDefault="00952D5F" w:rsidP="00E911A0">
      <w:pPr>
        <w:spacing w:after="0" w:line="240" w:lineRule="auto"/>
      </w:pPr>
      <w:r>
        <w:separator/>
      </w:r>
    </w:p>
  </w:footnote>
  <w:footnote w:type="continuationSeparator" w:id="0">
    <w:p w:rsidR="00952D5F" w:rsidRDefault="00952D5F" w:rsidP="00E9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75" w:rsidRDefault="009F39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02" w:rsidRDefault="00E911A0" w:rsidP="00E911A0">
    <w:pPr>
      <w:pStyle w:val="Nagwek"/>
      <w:jc w:val="right"/>
      <w:rPr>
        <w:rFonts w:ascii="Times New Roman" w:hAnsi="Times New Roman"/>
        <w:i/>
        <w:sz w:val="20"/>
        <w:szCs w:val="16"/>
      </w:rPr>
    </w:pPr>
    <w:r w:rsidRPr="00D36F13">
      <w:rPr>
        <w:rFonts w:ascii="Times New Roman" w:hAnsi="Times New Roman"/>
        <w:i/>
        <w:sz w:val="20"/>
        <w:szCs w:val="16"/>
      </w:rPr>
      <w:t>Załącznik</w:t>
    </w:r>
    <w:r w:rsidR="008C48FB" w:rsidRPr="00D36F13">
      <w:rPr>
        <w:rFonts w:ascii="Times New Roman" w:hAnsi="Times New Roman"/>
        <w:i/>
        <w:sz w:val="20"/>
        <w:szCs w:val="16"/>
      </w:rPr>
      <w:t xml:space="preserve"> nr </w:t>
    </w:r>
    <w:r w:rsidR="008351B8">
      <w:rPr>
        <w:rFonts w:ascii="Times New Roman" w:hAnsi="Times New Roman"/>
        <w:i/>
        <w:sz w:val="20"/>
        <w:szCs w:val="16"/>
      </w:rPr>
      <w:t>1</w:t>
    </w:r>
    <w:r w:rsidR="009F3975">
      <w:rPr>
        <w:rFonts w:ascii="Times New Roman" w:hAnsi="Times New Roman"/>
        <w:i/>
        <w:sz w:val="20"/>
        <w:szCs w:val="16"/>
      </w:rPr>
      <w:t xml:space="preserve">1 </w:t>
    </w:r>
    <w:r w:rsidR="006E264D">
      <w:rPr>
        <w:rFonts w:ascii="Times New Roman" w:hAnsi="Times New Roman"/>
        <w:i/>
        <w:sz w:val="20"/>
        <w:szCs w:val="16"/>
      </w:rPr>
      <w:t>do Uchwały Senatu nr</w:t>
    </w:r>
    <w:r w:rsidR="001649ED">
      <w:rPr>
        <w:rFonts w:ascii="Times New Roman" w:hAnsi="Times New Roman"/>
        <w:i/>
        <w:sz w:val="20"/>
        <w:szCs w:val="16"/>
      </w:rPr>
      <w:t>19/</w:t>
    </w:r>
    <w:r w:rsidR="006E264D">
      <w:rPr>
        <w:rFonts w:ascii="Times New Roman" w:hAnsi="Times New Roman"/>
        <w:i/>
        <w:sz w:val="20"/>
        <w:szCs w:val="16"/>
      </w:rPr>
      <w:t>202</w:t>
    </w:r>
    <w:r w:rsidR="009F3975">
      <w:rPr>
        <w:rFonts w:ascii="Times New Roman" w:hAnsi="Times New Roman"/>
        <w:i/>
        <w:sz w:val="20"/>
        <w:szCs w:val="16"/>
      </w:rPr>
      <w:t>2</w:t>
    </w:r>
  </w:p>
  <w:p w:rsidR="00E911A0" w:rsidRPr="00D36F13" w:rsidRDefault="00500B26" w:rsidP="00E911A0">
    <w:pPr>
      <w:pStyle w:val="Nagwek"/>
      <w:jc w:val="right"/>
      <w:rPr>
        <w:rFonts w:ascii="Times New Roman" w:hAnsi="Times New Roman"/>
        <w:sz w:val="20"/>
        <w:szCs w:val="16"/>
      </w:rPr>
    </w:pPr>
    <w:r w:rsidRPr="00D36F13">
      <w:rPr>
        <w:rFonts w:ascii="Times New Roman" w:hAnsi="Times New Roman"/>
        <w:i/>
        <w:sz w:val="20"/>
        <w:szCs w:val="16"/>
      </w:rPr>
      <w:t xml:space="preserve">z dnia </w:t>
    </w:r>
    <w:r w:rsidR="001649ED">
      <w:rPr>
        <w:rFonts w:ascii="Times New Roman" w:hAnsi="Times New Roman"/>
        <w:i/>
        <w:sz w:val="20"/>
        <w:szCs w:val="16"/>
      </w:rPr>
      <w:t xml:space="preserve">25 maja </w:t>
    </w:r>
    <w:r w:rsidR="006E264D">
      <w:rPr>
        <w:rFonts w:ascii="Times New Roman" w:hAnsi="Times New Roman"/>
        <w:i/>
        <w:sz w:val="20"/>
        <w:szCs w:val="16"/>
      </w:rPr>
      <w:t>202</w:t>
    </w:r>
    <w:r w:rsidR="009F3975">
      <w:rPr>
        <w:rFonts w:ascii="Times New Roman" w:hAnsi="Times New Roman"/>
        <w:i/>
        <w:sz w:val="20"/>
        <w:szCs w:val="16"/>
      </w:rPr>
      <w:t>2</w:t>
    </w:r>
    <w:r w:rsidR="001649ED">
      <w:rPr>
        <w:rFonts w:ascii="Times New Roman" w:hAnsi="Times New Roman"/>
        <w:i/>
        <w:sz w:val="20"/>
        <w:szCs w:val="16"/>
      </w:rPr>
      <w:t xml:space="preserve"> </w:t>
    </w:r>
    <w:bookmarkStart w:id="0" w:name="_GoBack"/>
    <w:bookmarkEnd w:id="0"/>
    <w:r w:rsidR="006E264D">
      <w:rPr>
        <w:rFonts w:ascii="Times New Roman" w:hAnsi="Times New Roman"/>
        <w:i/>
        <w:sz w:val="20"/>
        <w:szCs w:val="16"/>
      </w:rPr>
      <w:t>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75" w:rsidRDefault="009F39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B4E48"/>
    <w:multiLevelType w:val="multilevel"/>
    <w:tmpl w:val="8D28A0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62841CC8"/>
    <w:multiLevelType w:val="hybridMultilevel"/>
    <w:tmpl w:val="DEECA554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F8"/>
    <w:rsid w:val="00004324"/>
    <w:rsid w:val="000140DB"/>
    <w:rsid w:val="000427FB"/>
    <w:rsid w:val="000B2C86"/>
    <w:rsid w:val="000E1BC6"/>
    <w:rsid w:val="000F0AB2"/>
    <w:rsid w:val="00102577"/>
    <w:rsid w:val="001473CC"/>
    <w:rsid w:val="00147D1C"/>
    <w:rsid w:val="001649ED"/>
    <w:rsid w:val="00171064"/>
    <w:rsid w:val="0018005B"/>
    <w:rsid w:val="001926C2"/>
    <w:rsid w:val="00247D39"/>
    <w:rsid w:val="00260D27"/>
    <w:rsid w:val="002628F8"/>
    <w:rsid w:val="00281858"/>
    <w:rsid w:val="002C3E31"/>
    <w:rsid w:val="002D2750"/>
    <w:rsid w:val="003134E2"/>
    <w:rsid w:val="00322319"/>
    <w:rsid w:val="0033653C"/>
    <w:rsid w:val="00361A04"/>
    <w:rsid w:val="00380B6B"/>
    <w:rsid w:val="003C6E09"/>
    <w:rsid w:val="003E4202"/>
    <w:rsid w:val="00434EBC"/>
    <w:rsid w:val="00444946"/>
    <w:rsid w:val="004609BA"/>
    <w:rsid w:val="004642B5"/>
    <w:rsid w:val="00475C73"/>
    <w:rsid w:val="004A52DC"/>
    <w:rsid w:val="004A5AF8"/>
    <w:rsid w:val="004D4C4A"/>
    <w:rsid w:val="004D5B9C"/>
    <w:rsid w:val="00500B26"/>
    <w:rsid w:val="00551039"/>
    <w:rsid w:val="005D2DB4"/>
    <w:rsid w:val="00650E0B"/>
    <w:rsid w:val="006756EB"/>
    <w:rsid w:val="006D4348"/>
    <w:rsid w:val="006E264D"/>
    <w:rsid w:val="00724353"/>
    <w:rsid w:val="00752519"/>
    <w:rsid w:val="00773324"/>
    <w:rsid w:val="007C002D"/>
    <w:rsid w:val="007E5835"/>
    <w:rsid w:val="007F522C"/>
    <w:rsid w:val="008313F2"/>
    <w:rsid w:val="008351B8"/>
    <w:rsid w:val="00866642"/>
    <w:rsid w:val="008943D5"/>
    <w:rsid w:val="008C48D9"/>
    <w:rsid w:val="008C48FB"/>
    <w:rsid w:val="008C7FAE"/>
    <w:rsid w:val="008D5738"/>
    <w:rsid w:val="00906AB3"/>
    <w:rsid w:val="00952D5F"/>
    <w:rsid w:val="009B4350"/>
    <w:rsid w:val="009C4792"/>
    <w:rsid w:val="009E506E"/>
    <w:rsid w:val="009F3975"/>
    <w:rsid w:val="009F5A87"/>
    <w:rsid w:val="00A03176"/>
    <w:rsid w:val="00A14BBB"/>
    <w:rsid w:val="00A1750A"/>
    <w:rsid w:val="00A77F5F"/>
    <w:rsid w:val="00A85985"/>
    <w:rsid w:val="00A95E52"/>
    <w:rsid w:val="00AA1612"/>
    <w:rsid w:val="00AB021A"/>
    <w:rsid w:val="00B2201C"/>
    <w:rsid w:val="00B412B1"/>
    <w:rsid w:val="00B43BB9"/>
    <w:rsid w:val="00B82CEF"/>
    <w:rsid w:val="00B831F1"/>
    <w:rsid w:val="00BF565E"/>
    <w:rsid w:val="00C04C96"/>
    <w:rsid w:val="00C308F4"/>
    <w:rsid w:val="00C44127"/>
    <w:rsid w:val="00CC1E7F"/>
    <w:rsid w:val="00CC66A4"/>
    <w:rsid w:val="00D30866"/>
    <w:rsid w:val="00D31BEB"/>
    <w:rsid w:val="00D36F13"/>
    <w:rsid w:val="00D4548A"/>
    <w:rsid w:val="00D45C3E"/>
    <w:rsid w:val="00D5170F"/>
    <w:rsid w:val="00D52CC5"/>
    <w:rsid w:val="00D66143"/>
    <w:rsid w:val="00D674C6"/>
    <w:rsid w:val="00D705E8"/>
    <w:rsid w:val="00D92C01"/>
    <w:rsid w:val="00DE06A0"/>
    <w:rsid w:val="00DE4B22"/>
    <w:rsid w:val="00E911A0"/>
    <w:rsid w:val="00F31925"/>
    <w:rsid w:val="00F5503F"/>
    <w:rsid w:val="00FF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722A"/>
  <w15:docId w15:val="{1F363853-61A7-4CB3-A9AC-A7F6FFA7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8F8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8F8"/>
    <w:pPr>
      <w:spacing w:after="0" w:line="240" w:lineRule="auto"/>
      <w:ind w:left="720"/>
      <w:contextualSpacing/>
    </w:pPr>
    <w:rPr>
      <w:rFonts w:ascii="Verdana" w:eastAsia="Times New Roman" w:hAnsi="Verdana"/>
      <w:sz w:val="18"/>
      <w:szCs w:val="24"/>
      <w:lang w:eastAsia="pl-PL"/>
    </w:rPr>
  </w:style>
  <w:style w:type="table" w:styleId="Tabela-Siatka">
    <w:name w:val="Table Grid"/>
    <w:basedOn w:val="Standardowy"/>
    <w:uiPriority w:val="59"/>
    <w:rsid w:val="002628F8"/>
    <w:pPr>
      <w:spacing w:after="0" w:line="240" w:lineRule="auto"/>
    </w:pPr>
    <w:rPr>
      <w:rFonts w:ascii="Calibri" w:eastAsia="Calibri" w:hAnsi="Calibri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19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1A0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91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1A0"/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835"/>
    <w:rPr>
      <w:rFonts w:ascii="Calibri" w:eastAsia="Calibri" w:hAnsi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835"/>
    <w:rPr>
      <w:rFonts w:ascii="Calibri" w:eastAsia="Calibri" w:hAnsi="Calibr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Asp</cp:lastModifiedBy>
  <cp:revision>2</cp:revision>
  <cp:lastPrinted>2022-04-28T09:33:00Z</cp:lastPrinted>
  <dcterms:created xsi:type="dcterms:W3CDTF">2022-06-15T09:47:00Z</dcterms:created>
  <dcterms:modified xsi:type="dcterms:W3CDTF">2022-06-15T09:47:00Z</dcterms:modified>
</cp:coreProperties>
</file>