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09888" w14:textId="75C5330B" w:rsidR="00876FA7" w:rsidRPr="000F7360" w:rsidRDefault="00652C30" w:rsidP="000F73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18"/>
        </w:rPr>
        <w:t>Szczegółowy zakres obowiązków s</w:t>
      </w:r>
      <w:r w:rsidR="00876FA7" w:rsidRPr="000F7360">
        <w:rPr>
          <w:rFonts w:ascii="Times New Roman" w:hAnsi="Times New Roman" w:cs="Times New Roman"/>
          <w:b/>
          <w:sz w:val="24"/>
          <w:szCs w:val="18"/>
        </w:rPr>
        <w:t>ekretarza Uczelnianej Komisji Rekrutacyjnej</w:t>
      </w:r>
    </w:p>
    <w:p w14:paraId="6138903E" w14:textId="77777777" w:rsidR="00876FA7" w:rsidRPr="000F7360" w:rsidRDefault="00876FA7" w:rsidP="000F73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0F7360">
        <w:rPr>
          <w:rFonts w:ascii="Times New Roman" w:hAnsi="Times New Roman" w:cs="Times New Roman"/>
          <w:b/>
          <w:sz w:val="24"/>
          <w:szCs w:val="18"/>
        </w:rPr>
        <w:t>oraz wytyczne odnośnie trybu postępowania.</w:t>
      </w:r>
    </w:p>
    <w:p w14:paraId="52027782" w14:textId="77777777" w:rsidR="00876FA7" w:rsidRPr="000F7360" w:rsidRDefault="00876FA7" w:rsidP="000F7360">
      <w:pPr>
        <w:spacing w:after="0" w:line="276" w:lineRule="auto"/>
        <w:jc w:val="both"/>
        <w:rPr>
          <w:rFonts w:ascii="Times New Roman" w:hAnsi="Times New Roman" w:cs="Times New Roman"/>
          <w:sz w:val="24"/>
          <w:szCs w:val="18"/>
        </w:rPr>
      </w:pPr>
    </w:p>
    <w:p w14:paraId="43AFA007" w14:textId="77777777" w:rsidR="00876FA7" w:rsidRPr="000F7360" w:rsidRDefault="00876FA7" w:rsidP="000F7360">
      <w:pPr>
        <w:spacing w:after="0" w:line="276" w:lineRule="auto"/>
        <w:jc w:val="both"/>
        <w:rPr>
          <w:rFonts w:ascii="Times New Roman" w:hAnsi="Times New Roman" w:cs="Times New Roman"/>
          <w:sz w:val="24"/>
          <w:szCs w:val="18"/>
        </w:rPr>
      </w:pPr>
    </w:p>
    <w:p w14:paraId="439AF24D" w14:textId="77777777" w:rsidR="00876FA7" w:rsidRPr="000F7360" w:rsidRDefault="00876FA7" w:rsidP="000F7360">
      <w:pPr>
        <w:spacing w:after="0" w:line="276" w:lineRule="auto"/>
        <w:rPr>
          <w:rFonts w:ascii="Times New Roman" w:hAnsi="Times New Roman" w:cs="Times New Roman"/>
          <w:b/>
          <w:sz w:val="24"/>
          <w:szCs w:val="18"/>
        </w:rPr>
      </w:pPr>
      <w:r w:rsidRPr="000F7360">
        <w:rPr>
          <w:rFonts w:ascii="Times New Roman" w:hAnsi="Times New Roman" w:cs="Times New Roman"/>
          <w:sz w:val="24"/>
          <w:szCs w:val="18"/>
        </w:rPr>
        <w:t xml:space="preserve">Do obowiązków </w:t>
      </w:r>
      <w:r w:rsidR="000F7360">
        <w:rPr>
          <w:rFonts w:ascii="Times New Roman" w:hAnsi="Times New Roman" w:cs="Times New Roman"/>
          <w:sz w:val="24"/>
          <w:szCs w:val="18"/>
        </w:rPr>
        <w:t>s</w:t>
      </w:r>
      <w:r w:rsidRPr="000F7360">
        <w:rPr>
          <w:rFonts w:ascii="Times New Roman" w:hAnsi="Times New Roman" w:cs="Times New Roman"/>
          <w:sz w:val="24"/>
          <w:szCs w:val="18"/>
        </w:rPr>
        <w:t>ekretarza Uczelnianej Komisji Rekrutacyjnej należy:</w:t>
      </w:r>
    </w:p>
    <w:p w14:paraId="2A4E51EF" w14:textId="77777777" w:rsidR="00876FA7" w:rsidRPr="00B303A4" w:rsidRDefault="00876FA7" w:rsidP="000F7360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18"/>
        </w:rPr>
      </w:pPr>
    </w:p>
    <w:p w14:paraId="19AA0F20" w14:textId="5FF1A47F" w:rsidR="00876FA7" w:rsidRPr="00B303A4" w:rsidRDefault="00B62CBC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Cs w:val="18"/>
        </w:rPr>
      </w:pPr>
      <w:r w:rsidRPr="00B303A4">
        <w:rPr>
          <w:rFonts w:ascii="Times New Roman" w:hAnsi="Times New Roman" w:cs="Times New Roman"/>
          <w:color w:val="000000" w:themeColor="text1"/>
          <w:szCs w:val="18"/>
        </w:rPr>
        <w:t>Koordynowanie wszystki</w:t>
      </w:r>
      <w:r w:rsidR="00F24ACA" w:rsidRPr="00B303A4">
        <w:rPr>
          <w:rFonts w:ascii="Times New Roman" w:hAnsi="Times New Roman" w:cs="Times New Roman"/>
          <w:color w:val="000000" w:themeColor="text1"/>
          <w:szCs w:val="18"/>
        </w:rPr>
        <w:t>ch</w:t>
      </w:r>
      <w:r w:rsidRPr="00B303A4">
        <w:rPr>
          <w:rFonts w:ascii="Times New Roman" w:hAnsi="Times New Roman" w:cs="Times New Roman"/>
          <w:color w:val="000000" w:themeColor="text1"/>
          <w:szCs w:val="18"/>
        </w:rPr>
        <w:t xml:space="preserve"> czynności związanych z przeprowadzeniem postępowania </w:t>
      </w:r>
      <w:r w:rsidR="00876FA7" w:rsidRPr="00B303A4">
        <w:rPr>
          <w:rFonts w:ascii="Times New Roman" w:hAnsi="Times New Roman" w:cs="Times New Roman"/>
          <w:color w:val="000000" w:themeColor="text1"/>
          <w:szCs w:val="18"/>
        </w:rPr>
        <w:t>rekrutacyjnego</w:t>
      </w:r>
      <w:r w:rsidR="00E66668" w:rsidRPr="00B303A4">
        <w:rPr>
          <w:rFonts w:ascii="Times New Roman" w:hAnsi="Times New Roman" w:cs="Times New Roman"/>
          <w:color w:val="000000" w:themeColor="text1"/>
          <w:szCs w:val="18"/>
        </w:rPr>
        <w:t xml:space="preserve">, w tym zadań związanych z obsługą administracyjną rekrutacji. </w:t>
      </w:r>
    </w:p>
    <w:p w14:paraId="2C12F52D" w14:textId="77777777" w:rsidR="00B62CBC" w:rsidRPr="000F7360" w:rsidRDefault="00876FA7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Obsługa prac organizacyjno-administracyjnych UKR.</w:t>
      </w:r>
    </w:p>
    <w:p w14:paraId="6E547BD0" w14:textId="77F1A6B5" w:rsidR="0022023A" w:rsidRPr="000F7360" w:rsidRDefault="005A5B59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2E751B">
        <w:rPr>
          <w:rFonts w:ascii="Times New Roman" w:hAnsi="Times New Roman" w:cs="Times New Roman"/>
        </w:rPr>
        <w:t xml:space="preserve">Udział w przygotowaniu i zamieszczeniu na stronie </w:t>
      </w:r>
      <w:r w:rsidR="00652C30">
        <w:rPr>
          <w:rFonts w:ascii="Times New Roman" w:hAnsi="Times New Roman" w:cs="Times New Roman"/>
        </w:rPr>
        <w:t>U</w:t>
      </w:r>
      <w:r w:rsidR="00001BB1" w:rsidRPr="002E751B">
        <w:rPr>
          <w:rFonts w:ascii="Times New Roman" w:hAnsi="Times New Roman" w:cs="Times New Roman"/>
        </w:rPr>
        <w:t xml:space="preserve">czelni </w:t>
      </w:r>
      <w:r w:rsidR="00A225DC">
        <w:rPr>
          <w:rFonts w:ascii="Times New Roman" w:hAnsi="Times New Roman" w:cs="Times New Roman"/>
        </w:rPr>
        <w:t xml:space="preserve">niezbędnych informacji </w:t>
      </w:r>
      <w:r w:rsidRPr="002E751B">
        <w:rPr>
          <w:rFonts w:ascii="Times New Roman" w:hAnsi="Times New Roman" w:cs="Times New Roman"/>
        </w:rPr>
        <w:t>o postępowaniu rekrutacyjnym</w:t>
      </w:r>
      <w:r w:rsidR="00E851F2">
        <w:rPr>
          <w:rFonts w:ascii="Times New Roman" w:hAnsi="Times New Roman" w:cs="Times New Roman"/>
        </w:rPr>
        <w:t>,</w:t>
      </w:r>
      <w:r w:rsidRPr="000F7360" w:rsidDel="005A5B59">
        <w:rPr>
          <w:rFonts w:ascii="Times New Roman" w:hAnsi="Times New Roman" w:cs="Times New Roman"/>
          <w:szCs w:val="18"/>
        </w:rPr>
        <w:t xml:space="preserve"> </w:t>
      </w:r>
      <w:r w:rsidR="006217ED">
        <w:rPr>
          <w:rFonts w:ascii="Times New Roman" w:hAnsi="Times New Roman" w:cs="Times New Roman"/>
          <w:szCs w:val="18"/>
        </w:rPr>
        <w:t>w</w:t>
      </w:r>
      <w:r w:rsidR="00B62CBC" w:rsidRPr="000F7360">
        <w:rPr>
          <w:rFonts w:ascii="Times New Roman" w:hAnsi="Times New Roman" w:cs="Times New Roman"/>
          <w:szCs w:val="18"/>
        </w:rPr>
        <w:t>spółprac</w:t>
      </w:r>
      <w:r w:rsidR="0022023A" w:rsidRPr="000F7360">
        <w:rPr>
          <w:rFonts w:ascii="Times New Roman" w:hAnsi="Times New Roman" w:cs="Times New Roman"/>
          <w:szCs w:val="18"/>
        </w:rPr>
        <w:t>a</w:t>
      </w:r>
      <w:r w:rsidR="00102318">
        <w:rPr>
          <w:rFonts w:ascii="Times New Roman" w:hAnsi="Times New Roman" w:cs="Times New Roman"/>
          <w:szCs w:val="18"/>
        </w:rPr>
        <w:t xml:space="preserve"> z WKR, Informatyczną Obsługą Rekrutacji</w:t>
      </w:r>
      <w:r w:rsidR="00102318" w:rsidRPr="000F7360">
        <w:rPr>
          <w:rFonts w:ascii="Times New Roman" w:hAnsi="Times New Roman" w:cs="Times New Roman"/>
          <w:szCs w:val="18"/>
        </w:rPr>
        <w:t xml:space="preserve"> </w:t>
      </w:r>
      <w:r w:rsidR="00F24ACA" w:rsidRPr="000F7360">
        <w:rPr>
          <w:rFonts w:ascii="Times New Roman" w:hAnsi="Times New Roman" w:cs="Times New Roman"/>
          <w:szCs w:val="18"/>
        </w:rPr>
        <w:t>oraz</w:t>
      </w:r>
      <w:r w:rsidR="00B62CBC" w:rsidRPr="000F7360">
        <w:rPr>
          <w:rFonts w:ascii="Times New Roman" w:hAnsi="Times New Roman" w:cs="Times New Roman"/>
          <w:szCs w:val="18"/>
        </w:rPr>
        <w:t xml:space="preserve"> Biurem </w:t>
      </w:r>
      <w:r w:rsidR="00A225DC">
        <w:rPr>
          <w:rFonts w:ascii="Times New Roman" w:hAnsi="Times New Roman" w:cs="Times New Roman"/>
          <w:szCs w:val="18"/>
        </w:rPr>
        <w:t>R</w:t>
      </w:r>
      <w:r w:rsidR="00B62CBC" w:rsidRPr="000F7360">
        <w:rPr>
          <w:rFonts w:ascii="Times New Roman" w:hAnsi="Times New Roman" w:cs="Times New Roman"/>
          <w:szCs w:val="18"/>
        </w:rPr>
        <w:t>ekrutacji</w:t>
      </w:r>
      <w:r w:rsidR="00102318">
        <w:rPr>
          <w:rFonts w:ascii="Times New Roman" w:hAnsi="Times New Roman" w:cs="Times New Roman"/>
          <w:szCs w:val="18"/>
        </w:rPr>
        <w:t xml:space="preserve"> poszczególnych </w:t>
      </w:r>
      <w:r w:rsidR="00132CCD">
        <w:rPr>
          <w:rFonts w:ascii="Times New Roman" w:hAnsi="Times New Roman" w:cs="Times New Roman"/>
          <w:szCs w:val="18"/>
        </w:rPr>
        <w:t>kierunków</w:t>
      </w:r>
      <w:r w:rsidR="00B62CBC" w:rsidRPr="000F7360">
        <w:rPr>
          <w:rFonts w:ascii="Times New Roman" w:hAnsi="Times New Roman" w:cs="Times New Roman"/>
          <w:szCs w:val="18"/>
        </w:rPr>
        <w:t>.</w:t>
      </w:r>
    </w:p>
    <w:p w14:paraId="3A1ECACE" w14:textId="584B4B84" w:rsidR="0022023A" w:rsidRDefault="00B62CBC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Opracow</w:t>
      </w:r>
      <w:r w:rsidR="0022023A" w:rsidRPr="000F7360">
        <w:rPr>
          <w:rFonts w:ascii="Times New Roman" w:hAnsi="Times New Roman" w:cs="Times New Roman"/>
          <w:szCs w:val="18"/>
        </w:rPr>
        <w:t xml:space="preserve">anie </w:t>
      </w:r>
      <w:r w:rsidRPr="000F7360">
        <w:rPr>
          <w:rFonts w:ascii="Times New Roman" w:hAnsi="Times New Roman" w:cs="Times New Roman"/>
          <w:szCs w:val="18"/>
        </w:rPr>
        <w:t xml:space="preserve">wraz z Biurem </w:t>
      </w:r>
      <w:r w:rsidR="00001BB1">
        <w:rPr>
          <w:rFonts w:ascii="Times New Roman" w:hAnsi="Times New Roman" w:cs="Times New Roman"/>
          <w:szCs w:val="18"/>
        </w:rPr>
        <w:t>R</w:t>
      </w:r>
      <w:r w:rsidRPr="000F7360">
        <w:rPr>
          <w:rFonts w:ascii="Times New Roman" w:hAnsi="Times New Roman" w:cs="Times New Roman"/>
          <w:szCs w:val="18"/>
        </w:rPr>
        <w:t xml:space="preserve">ekrutacji </w:t>
      </w:r>
      <w:r w:rsidR="00132CCD">
        <w:rPr>
          <w:rFonts w:ascii="Times New Roman" w:hAnsi="Times New Roman" w:cs="Times New Roman"/>
          <w:szCs w:val="18"/>
        </w:rPr>
        <w:t>poszczególnych kierunków</w:t>
      </w:r>
      <w:r w:rsidR="00102318">
        <w:rPr>
          <w:rFonts w:ascii="Times New Roman" w:hAnsi="Times New Roman" w:cs="Times New Roman"/>
          <w:szCs w:val="18"/>
        </w:rPr>
        <w:t xml:space="preserve"> </w:t>
      </w:r>
      <w:r w:rsidRPr="000F7360">
        <w:rPr>
          <w:rFonts w:ascii="Times New Roman" w:hAnsi="Times New Roman" w:cs="Times New Roman"/>
          <w:szCs w:val="18"/>
        </w:rPr>
        <w:t>formularz</w:t>
      </w:r>
      <w:r w:rsidR="0022023A" w:rsidRPr="000F7360">
        <w:rPr>
          <w:rFonts w:ascii="Times New Roman" w:hAnsi="Times New Roman" w:cs="Times New Roman"/>
          <w:szCs w:val="18"/>
        </w:rPr>
        <w:t>y i</w:t>
      </w:r>
      <w:r w:rsidRPr="000F7360">
        <w:rPr>
          <w:rFonts w:ascii="Times New Roman" w:hAnsi="Times New Roman" w:cs="Times New Roman"/>
          <w:szCs w:val="18"/>
        </w:rPr>
        <w:t xml:space="preserve"> druk</w:t>
      </w:r>
      <w:r w:rsidR="0022023A" w:rsidRPr="000F7360">
        <w:rPr>
          <w:rFonts w:ascii="Times New Roman" w:hAnsi="Times New Roman" w:cs="Times New Roman"/>
          <w:szCs w:val="18"/>
        </w:rPr>
        <w:t>ów</w:t>
      </w:r>
      <w:r w:rsidRPr="000F7360">
        <w:rPr>
          <w:rFonts w:ascii="Times New Roman" w:hAnsi="Times New Roman" w:cs="Times New Roman"/>
          <w:szCs w:val="18"/>
        </w:rPr>
        <w:t xml:space="preserve"> niezbędn</w:t>
      </w:r>
      <w:r w:rsidR="0022023A" w:rsidRPr="000F7360">
        <w:rPr>
          <w:rFonts w:ascii="Times New Roman" w:hAnsi="Times New Roman" w:cs="Times New Roman"/>
          <w:szCs w:val="18"/>
        </w:rPr>
        <w:t>ych</w:t>
      </w:r>
      <w:r w:rsidRPr="000F7360">
        <w:rPr>
          <w:rFonts w:ascii="Times New Roman" w:hAnsi="Times New Roman" w:cs="Times New Roman"/>
          <w:szCs w:val="18"/>
        </w:rPr>
        <w:t xml:space="preserve"> w pracach komisji rekrutacyjnych (protokoły, dokumentacj</w:t>
      </w:r>
      <w:r w:rsidR="00633D3C" w:rsidRPr="000F7360">
        <w:rPr>
          <w:rFonts w:ascii="Times New Roman" w:hAnsi="Times New Roman" w:cs="Times New Roman"/>
          <w:szCs w:val="18"/>
        </w:rPr>
        <w:t>a</w:t>
      </w:r>
      <w:r w:rsidR="00174205">
        <w:rPr>
          <w:rFonts w:ascii="Times New Roman" w:hAnsi="Times New Roman" w:cs="Times New Roman"/>
          <w:szCs w:val="18"/>
        </w:rPr>
        <w:t xml:space="preserve"> rekrutacyjna</w:t>
      </w:r>
      <w:r w:rsidRPr="000F7360">
        <w:rPr>
          <w:rFonts w:ascii="Times New Roman" w:hAnsi="Times New Roman" w:cs="Times New Roman"/>
          <w:szCs w:val="18"/>
        </w:rPr>
        <w:t>, formularze dla sekretarzy WKR).</w:t>
      </w:r>
    </w:p>
    <w:p w14:paraId="145A7C8E" w14:textId="1775421E" w:rsidR="005B6741" w:rsidRPr="005B6741" w:rsidRDefault="005B6741" w:rsidP="005B6741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</w:rPr>
        <w:t>Weryfikacja</w:t>
      </w:r>
      <w:r w:rsidRPr="005B6741">
        <w:rPr>
          <w:rFonts w:ascii="Times New Roman" w:hAnsi="Times New Roman" w:cs="Times New Roman"/>
        </w:rPr>
        <w:t xml:space="preserve"> zgodność informacji zamieszczonych na stronie Uczelni oraz </w:t>
      </w:r>
      <w:r w:rsidRPr="005B6741">
        <w:rPr>
          <w:rFonts w:ascii="Times New Roman" w:hAnsi="Times New Roman" w:cs="Times New Roman"/>
        </w:rPr>
        <w:br/>
        <w:t xml:space="preserve">w panelu IRK z uchwałami </w:t>
      </w:r>
      <w:r w:rsidR="00CF7102">
        <w:rPr>
          <w:rFonts w:ascii="Times New Roman" w:hAnsi="Times New Roman" w:cs="Times New Roman"/>
        </w:rPr>
        <w:t>S</w:t>
      </w:r>
      <w:r w:rsidRPr="005B6741">
        <w:rPr>
          <w:rFonts w:ascii="Times New Roman" w:hAnsi="Times New Roman" w:cs="Times New Roman"/>
        </w:rPr>
        <w:t>enatu uczelni i procedurami postępowania rekrutacyjnego.</w:t>
      </w:r>
    </w:p>
    <w:p w14:paraId="4A571E92" w14:textId="74F5DC5E" w:rsidR="0022023A" w:rsidRPr="000F7360" w:rsidRDefault="00B62CBC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Przeprowadz</w:t>
      </w:r>
      <w:r w:rsidR="0022023A" w:rsidRPr="000F7360">
        <w:rPr>
          <w:rFonts w:ascii="Times New Roman" w:hAnsi="Times New Roman" w:cs="Times New Roman"/>
          <w:szCs w:val="18"/>
        </w:rPr>
        <w:t>enie</w:t>
      </w:r>
      <w:r w:rsidRPr="000F7360">
        <w:rPr>
          <w:rFonts w:ascii="Times New Roman" w:hAnsi="Times New Roman" w:cs="Times New Roman"/>
          <w:szCs w:val="18"/>
        </w:rPr>
        <w:t xml:space="preserve"> wraz z </w:t>
      </w:r>
      <w:r w:rsidR="005B6741">
        <w:rPr>
          <w:rFonts w:ascii="Times New Roman" w:hAnsi="Times New Roman" w:cs="Times New Roman"/>
          <w:szCs w:val="18"/>
        </w:rPr>
        <w:t>Informatyczną Obsługą Rekrutacji</w:t>
      </w:r>
      <w:r w:rsidRPr="000F7360">
        <w:rPr>
          <w:rFonts w:ascii="Times New Roman" w:hAnsi="Times New Roman" w:cs="Times New Roman"/>
          <w:szCs w:val="18"/>
        </w:rPr>
        <w:t xml:space="preserve"> szkole</w:t>
      </w:r>
      <w:r w:rsidR="0022023A" w:rsidRPr="000F7360">
        <w:rPr>
          <w:rFonts w:ascii="Times New Roman" w:hAnsi="Times New Roman" w:cs="Times New Roman"/>
          <w:szCs w:val="18"/>
        </w:rPr>
        <w:t>ń</w:t>
      </w:r>
      <w:r w:rsidRPr="000F7360">
        <w:rPr>
          <w:rFonts w:ascii="Times New Roman" w:hAnsi="Times New Roman" w:cs="Times New Roman"/>
          <w:szCs w:val="18"/>
        </w:rPr>
        <w:t xml:space="preserve"> instruktażow</w:t>
      </w:r>
      <w:r w:rsidR="0022023A" w:rsidRPr="000F7360">
        <w:rPr>
          <w:rFonts w:ascii="Times New Roman" w:hAnsi="Times New Roman" w:cs="Times New Roman"/>
          <w:szCs w:val="18"/>
        </w:rPr>
        <w:t>ych</w:t>
      </w:r>
      <w:r w:rsidRPr="000F7360">
        <w:rPr>
          <w:rFonts w:ascii="Times New Roman" w:hAnsi="Times New Roman" w:cs="Times New Roman"/>
          <w:szCs w:val="18"/>
        </w:rPr>
        <w:t xml:space="preserve"> </w:t>
      </w:r>
      <w:r w:rsidR="000F7360">
        <w:rPr>
          <w:rFonts w:ascii="Times New Roman" w:hAnsi="Times New Roman" w:cs="Times New Roman"/>
          <w:szCs w:val="18"/>
        </w:rPr>
        <w:t>s</w:t>
      </w:r>
      <w:r w:rsidRPr="000F7360">
        <w:rPr>
          <w:rFonts w:ascii="Times New Roman" w:hAnsi="Times New Roman" w:cs="Times New Roman"/>
          <w:szCs w:val="18"/>
        </w:rPr>
        <w:t>ekretarzy</w:t>
      </w:r>
      <w:r w:rsidR="00E851F2">
        <w:rPr>
          <w:rFonts w:ascii="Times New Roman" w:hAnsi="Times New Roman" w:cs="Times New Roman"/>
          <w:szCs w:val="18"/>
        </w:rPr>
        <w:t xml:space="preserve"> (sekretarzy pomocniczych)</w:t>
      </w:r>
      <w:r w:rsidRPr="000F7360">
        <w:rPr>
          <w:rFonts w:ascii="Times New Roman" w:hAnsi="Times New Roman" w:cs="Times New Roman"/>
          <w:szCs w:val="18"/>
        </w:rPr>
        <w:t xml:space="preserve"> WKR/I</w:t>
      </w:r>
      <w:r w:rsidR="00812336">
        <w:rPr>
          <w:rFonts w:ascii="Times New Roman" w:hAnsi="Times New Roman" w:cs="Times New Roman"/>
          <w:szCs w:val="18"/>
        </w:rPr>
        <w:t>RK</w:t>
      </w:r>
      <w:r w:rsidRPr="000F7360">
        <w:rPr>
          <w:rFonts w:ascii="Times New Roman" w:hAnsi="Times New Roman" w:cs="Times New Roman"/>
          <w:szCs w:val="18"/>
        </w:rPr>
        <w:t>.</w:t>
      </w:r>
    </w:p>
    <w:p w14:paraId="0B3CA9CC" w14:textId="77777777" w:rsidR="0022023A" w:rsidRPr="000F7360" w:rsidRDefault="00B62CBC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Nadzor</w:t>
      </w:r>
      <w:r w:rsidR="0022023A" w:rsidRPr="000F7360">
        <w:rPr>
          <w:rFonts w:ascii="Times New Roman" w:hAnsi="Times New Roman" w:cs="Times New Roman"/>
          <w:szCs w:val="18"/>
        </w:rPr>
        <w:t>owanie</w:t>
      </w:r>
      <w:r w:rsidRPr="000F7360">
        <w:rPr>
          <w:rFonts w:ascii="Times New Roman" w:hAnsi="Times New Roman" w:cs="Times New Roman"/>
          <w:szCs w:val="18"/>
        </w:rPr>
        <w:t xml:space="preserve"> wprowadz</w:t>
      </w:r>
      <w:r w:rsidR="0022023A" w:rsidRPr="000F7360">
        <w:rPr>
          <w:rFonts w:ascii="Times New Roman" w:hAnsi="Times New Roman" w:cs="Times New Roman"/>
          <w:szCs w:val="18"/>
        </w:rPr>
        <w:t>onych</w:t>
      </w:r>
      <w:r w:rsidRPr="000F7360">
        <w:rPr>
          <w:rFonts w:ascii="Times New Roman" w:hAnsi="Times New Roman" w:cs="Times New Roman"/>
          <w:szCs w:val="18"/>
        </w:rPr>
        <w:t xml:space="preserve"> do panelu IRK przyjętych reguł postępowania kwalifikacyjnego</w:t>
      </w:r>
      <w:r w:rsidR="0091525A" w:rsidRPr="000F7360">
        <w:rPr>
          <w:rFonts w:ascii="Times New Roman" w:hAnsi="Times New Roman" w:cs="Times New Roman"/>
          <w:szCs w:val="18"/>
        </w:rPr>
        <w:t xml:space="preserve"> </w:t>
      </w:r>
      <w:r w:rsidR="00F24ACA" w:rsidRPr="000F7360">
        <w:rPr>
          <w:rFonts w:ascii="Times New Roman" w:hAnsi="Times New Roman" w:cs="Times New Roman"/>
          <w:szCs w:val="18"/>
        </w:rPr>
        <w:t xml:space="preserve"> i</w:t>
      </w:r>
      <w:r w:rsidR="009818A5" w:rsidRPr="000F7360">
        <w:rPr>
          <w:rFonts w:ascii="Times New Roman" w:hAnsi="Times New Roman" w:cs="Times New Roman"/>
          <w:szCs w:val="18"/>
        </w:rPr>
        <w:t xml:space="preserve"> </w:t>
      </w:r>
      <w:r w:rsidRPr="000F7360">
        <w:rPr>
          <w:rFonts w:ascii="Times New Roman" w:hAnsi="Times New Roman" w:cs="Times New Roman"/>
          <w:szCs w:val="18"/>
        </w:rPr>
        <w:t>rejestracj</w:t>
      </w:r>
      <w:r w:rsidR="00F24ACA" w:rsidRPr="000F7360">
        <w:rPr>
          <w:rFonts w:ascii="Times New Roman" w:hAnsi="Times New Roman" w:cs="Times New Roman"/>
          <w:szCs w:val="18"/>
        </w:rPr>
        <w:t>i</w:t>
      </w:r>
      <w:r w:rsidRPr="000F7360">
        <w:rPr>
          <w:rFonts w:ascii="Times New Roman" w:hAnsi="Times New Roman" w:cs="Times New Roman"/>
          <w:szCs w:val="18"/>
        </w:rPr>
        <w:t xml:space="preserve"> kandydatów.</w:t>
      </w:r>
    </w:p>
    <w:p w14:paraId="314ABA06" w14:textId="77777777" w:rsidR="0022023A" w:rsidRPr="000F7360" w:rsidRDefault="00F24ACA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Udzielanie</w:t>
      </w:r>
      <w:r w:rsidR="009818A5" w:rsidRPr="000F7360">
        <w:rPr>
          <w:rFonts w:ascii="Times New Roman" w:hAnsi="Times New Roman" w:cs="Times New Roman"/>
          <w:szCs w:val="18"/>
        </w:rPr>
        <w:t xml:space="preserve"> </w:t>
      </w:r>
      <w:r w:rsidR="00B62CBC" w:rsidRPr="000F7360">
        <w:rPr>
          <w:rFonts w:ascii="Times New Roman" w:hAnsi="Times New Roman" w:cs="Times New Roman"/>
          <w:szCs w:val="18"/>
        </w:rPr>
        <w:t>komisjom rekrutacyjnym rad w zakresie interpretacji ogólnych i uczelnianych</w:t>
      </w:r>
      <w:r w:rsidR="0091525A" w:rsidRPr="000F7360">
        <w:rPr>
          <w:rFonts w:ascii="Times New Roman" w:hAnsi="Times New Roman" w:cs="Times New Roman"/>
          <w:szCs w:val="18"/>
        </w:rPr>
        <w:t xml:space="preserve"> </w:t>
      </w:r>
      <w:r w:rsidR="00B62CBC" w:rsidRPr="000F7360">
        <w:rPr>
          <w:rFonts w:ascii="Times New Roman" w:hAnsi="Times New Roman" w:cs="Times New Roman"/>
          <w:szCs w:val="18"/>
        </w:rPr>
        <w:t xml:space="preserve">przepisów dotyczących </w:t>
      </w:r>
      <w:r w:rsidR="0022023A" w:rsidRPr="000F7360">
        <w:rPr>
          <w:rFonts w:ascii="Times New Roman" w:hAnsi="Times New Roman" w:cs="Times New Roman"/>
          <w:szCs w:val="18"/>
        </w:rPr>
        <w:t xml:space="preserve">postępowania </w:t>
      </w:r>
      <w:r w:rsidR="00B62CBC" w:rsidRPr="000F7360">
        <w:rPr>
          <w:rFonts w:ascii="Times New Roman" w:hAnsi="Times New Roman" w:cs="Times New Roman"/>
          <w:szCs w:val="18"/>
        </w:rPr>
        <w:t>rekrutac</w:t>
      </w:r>
      <w:r w:rsidR="0022023A" w:rsidRPr="000F7360">
        <w:rPr>
          <w:rFonts w:ascii="Times New Roman" w:hAnsi="Times New Roman" w:cs="Times New Roman"/>
          <w:szCs w:val="18"/>
        </w:rPr>
        <w:t>yjnego</w:t>
      </w:r>
      <w:r w:rsidR="00B62CBC" w:rsidRPr="000F7360">
        <w:rPr>
          <w:rFonts w:ascii="Times New Roman" w:hAnsi="Times New Roman" w:cs="Times New Roman"/>
          <w:szCs w:val="18"/>
        </w:rPr>
        <w:t>.</w:t>
      </w:r>
    </w:p>
    <w:p w14:paraId="1ACF3387" w14:textId="77777777" w:rsidR="0022023A" w:rsidRPr="000F7360" w:rsidRDefault="00F24ACA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Przedkładanie</w:t>
      </w:r>
      <w:r w:rsidR="0091525A" w:rsidRPr="000F7360">
        <w:rPr>
          <w:rFonts w:ascii="Times New Roman" w:hAnsi="Times New Roman" w:cs="Times New Roman"/>
          <w:szCs w:val="18"/>
        </w:rPr>
        <w:t xml:space="preserve"> </w:t>
      </w:r>
      <w:r w:rsidR="000F7360">
        <w:rPr>
          <w:rFonts w:ascii="Times New Roman" w:hAnsi="Times New Roman" w:cs="Times New Roman"/>
          <w:szCs w:val="18"/>
        </w:rPr>
        <w:t>p</w:t>
      </w:r>
      <w:r w:rsidR="00B62CBC" w:rsidRPr="000F7360">
        <w:rPr>
          <w:rFonts w:ascii="Times New Roman" w:hAnsi="Times New Roman" w:cs="Times New Roman"/>
          <w:szCs w:val="18"/>
        </w:rPr>
        <w:t>rzewodniczącemu UKR do rozstrzygnięcia</w:t>
      </w:r>
      <w:r w:rsidR="009818A5" w:rsidRPr="000F7360">
        <w:rPr>
          <w:rFonts w:ascii="Times New Roman" w:hAnsi="Times New Roman" w:cs="Times New Roman"/>
          <w:szCs w:val="18"/>
        </w:rPr>
        <w:t xml:space="preserve"> </w:t>
      </w:r>
      <w:r w:rsidR="00B62CBC" w:rsidRPr="000F7360">
        <w:rPr>
          <w:rFonts w:ascii="Times New Roman" w:hAnsi="Times New Roman" w:cs="Times New Roman"/>
          <w:szCs w:val="18"/>
        </w:rPr>
        <w:t>wszelki</w:t>
      </w:r>
      <w:r w:rsidRPr="000F7360">
        <w:rPr>
          <w:rFonts w:ascii="Times New Roman" w:hAnsi="Times New Roman" w:cs="Times New Roman"/>
          <w:szCs w:val="18"/>
        </w:rPr>
        <w:t>ch</w:t>
      </w:r>
      <w:r w:rsidR="00B62CBC" w:rsidRPr="000F7360">
        <w:rPr>
          <w:rFonts w:ascii="Times New Roman" w:hAnsi="Times New Roman" w:cs="Times New Roman"/>
          <w:szCs w:val="18"/>
        </w:rPr>
        <w:t xml:space="preserve"> wątpliw</w:t>
      </w:r>
      <w:r w:rsidRPr="000F7360">
        <w:rPr>
          <w:rFonts w:ascii="Times New Roman" w:hAnsi="Times New Roman" w:cs="Times New Roman"/>
          <w:szCs w:val="18"/>
        </w:rPr>
        <w:t>ych</w:t>
      </w:r>
      <w:r w:rsidR="00B62CBC" w:rsidRPr="000F7360">
        <w:rPr>
          <w:rFonts w:ascii="Times New Roman" w:hAnsi="Times New Roman" w:cs="Times New Roman"/>
          <w:szCs w:val="18"/>
        </w:rPr>
        <w:t xml:space="preserve"> spraw związan</w:t>
      </w:r>
      <w:r w:rsidRPr="000F7360">
        <w:rPr>
          <w:rFonts w:ascii="Times New Roman" w:hAnsi="Times New Roman" w:cs="Times New Roman"/>
          <w:szCs w:val="18"/>
        </w:rPr>
        <w:t>ych</w:t>
      </w:r>
      <w:r w:rsidR="00B62CBC" w:rsidRPr="000F7360">
        <w:rPr>
          <w:rFonts w:ascii="Times New Roman" w:hAnsi="Times New Roman" w:cs="Times New Roman"/>
          <w:szCs w:val="18"/>
        </w:rPr>
        <w:t xml:space="preserve"> z postępowaniem rekrutacyjnym</w:t>
      </w:r>
      <w:r w:rsidRPr="000F7360">
        <w:rPr>
          <w:rFonts w:ascii="Times New Roman" w:hAnsi="Times New Roman" w:cs="Times New Roman"/>
          <w:szCs w:val="18"/>
        </w:rPr>
        <w:t>, w tym</w:t>
      </w:r>
      <w:r w:rsidR="00B62CBC" w:rsidRPr="000F7360">
        <w:rPr>
          <w:rFonts w:ascii="Times New Roman" w:hAnsi="Times New Roman" w:cs="Times New Roman"/>
          <w:szCs w:val="18"/>
        </w:rPr>
        <w:t xml:space="preserve"> odnośnie nieprawidłowości </w:t>
      </w:r>
      <w:r w:rsidRPr="000F7360">
        <w:rPr>
          <w:rFonts w:ascii="Times New Roman" w:hAnsi="Times New Roman" w:cs="Times New Roman"/>
          <w:szCs w:val="18"/>
        </w:rPr>
        <w:t xml:space="preserve">zauważonych </w:t>
      </w:r>
      <w:r w:rsidR="00B62CBC" w:rsidRPr="000F7360">
        <w:rPr>
          <w:rFonts w:ascii="Times New Roman" w:hAnsi="Times New Roman" w:cs="Times New Roman"/>
          <w:szCs w:val="18"/>
        </w:rPr>
        <w:t xml:space="preserve">w działaniach WKR </w:t>
      </w:r>
      <w:r w:rsidR="00321DAC" w:rsidRPr="000F7360">
        <w:rPr>
          <w:rFonts w:ascii="Times New Roman" w:hAnsi="Times New Roman" w:cs="Times New Roman"/>
          <w:szCs w:val="18"/>
        </w:rPr>
        <w:t xml:space="preserve">oraz działań </w:t>
      </w:r>
      <w:r w:rsidR="00B62CBC" w:rsidRPr="000F7360">
        <w:rPr>
          <w:rFonts w:ascii="Times New Roman" w:hAnsi="Times New Roman" w:cs="Times New Roman"/>
          <w:szCs w:val="18"/>
        </w:rPr>
        <w:t>niezgodnych z obowiązującymi przepisami.</w:t>
      </w:r>
    </w:p>
    <w:p w14:paraId="19F87020" w14:textId="77777777" w:rsidR="0022023A" w:rsidRPr="000F7360" w:rsidRDefault="0022023A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 xml:space="preserve">Koordynowanie czynności związanych z </w:t>
      </w:r>
      <w:r w:rsidR="00B62CBC" w:rsidRPr="000F7360">
        <w:rPr>
          <w:rFonts w:ascii="Times New Roman" w:hAnsi="Times New Roman" w:cs="Times New Roman"/>
          <w:szCs w:val="18"/>
        </w:rPr>
        <w:t>odwoła</w:t>
      </w:r>
      <w:r w:rsidRPr="000F7360">
        <w:rPr>
          <w:rFonts w:ascii="Times New Roman" w:hAnsi="Times New Roman" w:cs="Times New Roman"/>
          <w:szCs w:val="18"/>
        </w:rPr>
        <w:t>niami</w:t>
      </w:r>
      <w:r w:rsidR="00B62CBC" w:rsidRPr="000F7360">
        <w:rPr>
          <w:rFonts w:ascii="Times New Roman" w:hAnsi="Times New Roman" w:cs="Times New Roman"/>
          <w:szCs w:val="18"/>
        </w:rPr>
        <w:t xml:space="preserve"> od decyzji </w:t>
      </w:r>
      <w:r w:rsidRPr="000F7360">
        <w:rPr>
          <w:rFonts w:ascii="Times New Roman" w:hAnsi="Times New Roman" w:cs="Times New Roman"/>
          <w:szCs w:val="18"/>
        </w:rPr>
        <w:t xml:space="preserve">o </w:t>
      </w:r>
      <w:r w:rsidR="00B62CBC" w:rsidRPr="000F7360">
        <w:rPr>
          <w:rFonts w:ascii="Times New Roman" w:hAnsi="Times New Roman" w:cs="Times New Roman"/>
          <w:szCs w:val="18"/>
        </w:rPr>
        <w:t xml:space="preserve">nieprzyjęciu na studia kierowanych do </w:t>
      </w:r>
      <w:r w:rsidR="006D1AA1">
        <w:rPr>
          <w:rFonts w:ascii="Times New Roman" w:hAnsi="Times New Roman" w:cs="Times New Roman"/>
          <w:szCs w:val="18"/>
        </w:rPr>
        <w:t>r</w:t>
      </w:r>
      <w:r w:rsidR="000F7360">
        <w:rPr>
          <w:rFonts w:ascii="Times New Roman" w:hAnsi="Times New Roman" w:cs="Times New Roman"/>
          <w:szCs w:val="18"/>
        </w:rPr>
        <w:t>ektora</w:t>
      </w:r>
      <w:r w:rsidR="00B62CBC" w:rsidRPr="000F7360">
        <w:rPr>
          <w:rFonts w:ascii="Times New Roman" w:hAnsi="Times New Roman" w:cs="Times New Roman"/>
          <w:szCs w:val="18"/>
        </w:rPr>
        <w:t>.</w:t>
      </w:r>
    </w:p>
    <w:p w14:paraId="6AF24A4C" w14:textId="77777777" w:rsidR="0022023A" w:rsidRPr="000F7360" w:rsidRDefault="00B62CBC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Sporządz</w:t>
      </w:r>
      <w:r w:rsidR="002A0695" w:rsidRPr="000F7360">
        <w:rPr>
          <w:rFonts w:ascii="Times New Roman" w:hAnsi="Times New Roman" w:cs="Times New Roman"/>
          <w:szCs w:val="18"/>
        </w:rPr>
        <w:t>enie</w:t>
      </w:r>
      <w:r w:rsidRPr="000F7360">
        <w:rPr>
          <w:rFonts w:ascii="Times New Roman" w:hAnsi="Times New Roman" w:cs="Times New Roman"/>
          <w:szCs w:val="18"/>
        </w:rPr>
        <w:t xml:space="preserve"> projekt</w:t>
      </w:r>
      <w:r w:rsidR="002A0695" w:rsidRPr="000F7360">
        <w:rPr>
          <w:rFonts w:ascii="Times New Roman" w:hAnsi="Times New Roman" w:cs="Times New Roman"/>
          <w:szCs w:val="18"/>
        </w:rPr>
        <w:t>u</w:t>
      </w:r>
      <w:r w:rsidRPr="000F7360">
        <w:rPr>
          <w:rFonts w:ascii="Times New Roman" w:hAnsi="Times New Roman" w:cs="Times New Roman"/>
          <w:szCs w:val="18"/>
        </w:rPr>
        <w:t xml:space="preserve"> decyzji administracyjnych zgodnie ze stanowiskiem </w:t>
      </w:r>
      <w:r w:rsidR="00001BB1">
        <w:rPr>
          <w:rFonts w:ascii="Times New Roman" w:hAnsi="Times New Roman" w:cs="Times New Roman"/>
          <w:szCs w:val="18"/>
        </w:rPr>
        <w:t>r</w:t>
      </w:r>
      <w:r w:rsidR="000F7360">
        <w:rPr>
          <w:rFonts w:ascii="Times New Roman" w:hAnsi="Times New Roman" w:cs="Times New Roman"/>
          <w:szCs w:val="18"/>
        </w:rPr>
        <w:t>ektora</w:t>
      </w:r>
      <w:r w:rsidR="000F7360" w:rsidRPr="000F7360">
        <w:rPr>
          <w:rFonts w:ascii="Times New Roman" w:hAnsi="Times New Roman" w:cs="Times New Roman"/>
          <w:szCs w:val="18"/>
        </w:rPr>
        <w:t xml:space="preserve"> </w:t>
      </w:r>
      <w:r w:rsidRPr="000F7360">
        <w:rPr>
          <w:rFonts w:ascii="Times New Roman" w:hAnsi="Times New Roman" w:cs="Times New Roman"/>
          <w:szCs w:val="18"/>
        </w:rPr>
        <w:t xml:space="preserve">we współpracy z radcą prawnym. </w:t>
      </w:r>
    </w:p>
    <w:p w14:paraId="6C193B2B" w14:textId="7F556BB3" w:rsidR="006D1AA1" w:rsidRPr="006D1AA1" w:rsidRDefault="009818A5" w:rsidP="006D1AA1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Nadanie nr decyzjom administracyjnym</w:t>
      </w:r>
      <w:r w:rsidR="006D1AA1">
        <w:rPr>
          <w:rFonts w:ascii="Times New Roman" w:hAnsi="Times New Roman" w:cs="Times New Roman"/>
          <w:szCs w:val="18"/>
        </w:rPr>
        <w:t>.</w:t>
      </w:r>
      <w:r w:rsidR="00B62CBC" w:rsidRPr="000F7360">
        <w:rPr>
          <w:rFonts w:ascii="Times New Roman" w:hAnsi="Times New Roman" w:cs="Times New Roman"/>
          <w:szCs w:val="18"/>
        </w:rPr>
        <w:t xml:space="preserve"> </w:t>
      </w:r>
      <w:r w:rsidR="006D1AA1" w:rsidRPr="006D1AA1">
        <w:rPr>
          <w:rFonts w:ascii="Times New Roman" w:hAnsi="Times New Roman" w:cs="Times New Roman"/>
          <w:szCs w:val="18"/>
        </w:rPr>
        <w:t>Jeden egzemplarz decyzji jest wysyłany kandydatowi pocztą za z</w:t>
      </w:r>
      <w:r w:rsidR="00132CCD">
        <w:rPr>
          <w:rFonts w:ascii="Times New Roman" w:hAnsi="Times New Roman" w:cs="Times New Roman"/>
          <w:szCs w:val="18"/>
        </w:rPr>
        <w:t>wrotnym potwierdzeniem odbioru,</w:t>
      </w:r>
      <w:r w:rsidR="006D1AA1" w:rsidRPr="006D1AA1">
        <w:rPr>
          <w:rFonts w:ascii="Times New Roman" w:hAnsi="Times New Roman" w:cs="Times New Roman"/>
          <w:szCs w:val="18"/>
        </w:rPr>
        <w:t xml:space="preserve"> drugi zostaje dołączony do dokumentacji </w:t>
      </w:r>
      <w:r w:rsidR="006D1AA1">
        <w:rPr>
          <w:rFonts w:ascii="Times New Roman" w:hAnsi="Times New Roman" w:cs="Times New Roman"/>
          <w:szCs w:val="18"/>
        </w:rPr>
        <w:t>odwoławczej</w:t>
      </w:r>
      <w:r w:rsidR="006D1AA1" w:rsidRPr="006D1AA1">
        <w:rPr>
          <w:rFonts w:ascii="Times New Roman" w:hAnsi="Times New Roman" w:cs="Times New Roman"/>
          <w:szCs w:val="18"/>
        </w:rPr>
        <w:t>.</w:t>
      </w:r>
    </w:p>
    <w:p w14:paraId="1EFFE0AD" w14:textId="4DDC5628" w:rsidR="0022023A" w:rsidRDefault="00633D3C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Sporządzanie projektów p</w:t>
      </w:r>
      <w:r w:rsidR="00B62CBC" w:rsidRPr="000F7360">
        <w:rPr>
          <w:rFonts w:ascii="Times New Roman" w:hAnsi="Times New Roman" w:cs="Times New Roman"/>
          <w:szCs w:val="18"/>
        </w:rPr>
        <w:t>isemn</w:t>
      </w:r>
      <w:r w:rsidRPr="000F7360">
        <w:rPr>
          <w:rFonts w:ascii="Times New Roman" w:hAnsi="Times New Roman" w:cs="Times New Roman"/>
          <w:szCs w:val="18"/>
        </w:rPr>
        <w:t>ych</w:t>
      </w:r>
      <w:r w:rsidR="00B62CBC" w:rsidRPr="000F7360">
        <w:rPr>
          <w:rFonts w:ascii="Times New Roman" w:hAnsi="Times New Roman" w:cs="Times New Roman"/>
          <w:szCs w:val="18"/>
        </w:rPr>
        <w:t xml:space="preserve"> wyjaśnienia dotycząc</w:t>
      </w:r>
      <w:r w:rsidRPr="000F7360">
        <w:rPr>
          <w:rFonts w:ascii="Times New Roman" w:hAnsi="Times New Roman" w:cs="Times New Roman"/>
          <w:szCs w:val="18"/>
        </w:rPr>
        <w:t>ych</w:t>
      </w:r>
      <w:r w:rsidR="00B62CBC" w:rsidRPr="000F7360">
        <w:rPr>
          <w:rFonts w:ascii="Times New Roman" w:hAnsi="Times New Roman" w:cs="Times New Roman"/>
          <w:szCs w:val="18"/>
        </w:rPr>
        <w:t xml:space="preserve"> złożonych do </w:t>
      </w:r>
      <w:r w:rsidR="00001BB1">
        <w:rPr>
          <w:rFonts w:ascii="Times New Roman" w:hAnsi="Times New Roman" w:cs="Times New Roman"/>
          <w:szCs w:val="18"/>
        </w:rPr>
        <w:t>r</w:t>
      </w:r>
      <w:r w:rsidR="000F7360">
        <w:rPr>
          <w:rFonts w:ascii="Times New Roman" w:hAnsi="Times New Roman" w:cs="Times New Roman"/>
          <w:szCs w:val="18"/>
        </w:rPr>
        <w:t>ektora</w:t>
      </w:r>
      <w:r w:rsidR="00B62CBC" w:rsidRPr="000F7360">
        <w:rPr>
          <w:rFonts w:ascii="Times New Roman" w:hAnsi="Times New Roman" w:cs="Times New Roman"/>
          <w:szCs w:val="18"/>
        </w:rPr>
        <w:t xml:space="preserve"> skarg i zażaleń, celem udzielenia odpowiedzi zainteresowanym.</w:t>
      </w:r>
    </w:p>
    <w:p w14:paraId="2F736D40" w14:textId="0E6E319E" w:rsidR="005B7A04" w:rsidRPr="005B7A04" w:rsidRDefault="005B7A04" w:rsidP="005B7A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Przygotowywanie, </w:t>
      </w:r>
      <w:r>
        <w:rPr>
          <w:rFonts w:ascii="Times New Roman" w:hAnsi="Times New Roman" w:cs="Times New Roman"/>
          <w:sz w:val="24"/>
          <w:szCs w:val="24"/>
        </w:rPr>
        <w:t>na podstawie rozliczenia rekrutacji sporządzonego</w:t>
      </w:r>
      <w:r w:rsidRPr="002E751B"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sz w:val="24"/>
          <w:szCs w:val="24"/>
        </w:rPr>
        <w:t xml:space="preserve"> Dział Finansowo-Księgowy uczelni </w:t>
      </w:r>
      <w:r w:rsidRPr="002E751B">
        <w:rPr>
          <w:rFonts w:ascii="Times New Roman" w:hAnsi="Times New Roman" w:cs="Times New Roman"/>
          <w:sz w:val="24"/>
          <w:szCs w:val="24"/>
        </w:rPr>
        <w:t xml:space="preserve"> listy wynagrodzeń dla członków komisji rekrutacyjnych i </w:t>
      </w:r>
      <w:r w:rsidRPr="002E751B">
        <w:rPr>
          <w:rFonts w:ascii="Times New Roman" w:hAnsi="Times New Roman" w:cs="Times New Roman"/>
          <w:sz w:val="24"/>
          <w:szCs w:val="24"/>
        </w:rPr>
        <w:lastRenderedPageBreak/>
        <w:t xml:space="preserve">egzaminatorów oraz innych </w:t>
      </w:r>
      <w:r>
        <w:rPr>
          <w:rFonts w:ascii="Times New Roman" w:hAnsi="Times New Roman" w:cs="Times New Roman"/>
          <w:sz w:val="24"/>
          <w:szCs w:val="24"/>
        </w:rPr>
        <w:t xml:space="preserve">osób </w:t>
      </w:r>
      <w:r w:rsidRPr="002E751B">
        <w:rPr>
          <w:rFonts w:ascii="Times New Roman" w:hAnsi="Times New Roman" w:cs="Times New Roman"/>
          <w:sz w:val="24"/>
          <w:szCs w:val="24"/>
        </w:rPr>
        <w:t>biorących udział w postępowaniu rekrutacyjnym na studia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4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– w porozumieniu z przewodniczącym UKR</w:t>
      </w:r>
      <w:r w:rsidRPr="002E751B">
        <w:rPr>
          <w:rFonts w:ascii="Times New Roman" w:hAnsi="Times New Roman" w:cs="Times New Roman"/>
          <w:sz w:val="24"/>
          <w:szCs w:val="24"/>
        </w:rPr>
        <w:t>.</w:t>
      </w:r>
    </w:p>
    <w:p w14:paraId="595B10A8" w14:textId="77777777" w:rsidR="00FB0079" w:rsidRPr="000F7360" w:rsidRDefault="00B62CBC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Prowadz</w:t>
      </w:r>
      <w:r w:rsidR="002A0695" w:rsidRPr="000F7360">
        <w:rPr>
          <w:rFonts w:ascii="Times New Roman" w:hAnsi="Times New Roman" w:cs="Times New Roman"/>
          <w:szCs w:val="18"/>
        </w:rPr>
        <w:t>en</w:t>
      </w:r>
      <w:r w:rsidRPr="000F7360">
        <w:rPr>
          <w:rFonts w:ascii="Times New Roman" w:hAnsi="Times New Roman" w:cs="Times New Roman"/>
          <w:szCs w:val="18"/>
        </w:rPr>
        <w:t>i</w:t>
      </w:r>
      <w:r w:rsidR="002A0695" w:rsidRPr="000F7360">
        <w:rPr>
          <w:rFonts w:ascii="Times New Roman" w:hAnsi="Times New Roman" w:cs="Times New Roman"/>
          <w:szCs w:val="18"/>
        </w:rPr>
        <w:t>e</w:t>
      </w:r>
      <w:r w:rsidRPr="000F7360">
        <w:rPr>
          <w:rFonts w:ascii="Times New Roman" w:hAnsi="Times New Roman" w:cs="Times New Roman"/>
          <w:szCs w:val="18"/>
        </w:rPr>
        <w:t xml:space="preserve"> dokumentacj</w:t>
      </w:r>
      <w:r w:rsidR="002A0695" w:rsidRPr="000F7360">
        <w:rPr>
          <w:rFonts w:ascii="Times New Roman" w:hAnsi="Times New Roman" w:cs="Times New Roman"/>
          <w:szCs w:val="18"/>
        </w:rPr>
        <w:t>i</w:t>
      </w:r>
      <w:r w:rsidRPr="000F7360">
        <w:rPr>
          <w:rFonts w:ascii="Times New Roman" w:hAnsi="Times New Roman" w:cs="Times New Roman"/>
          <w:szCs w:val="18"/>
        </w:rPr>
        <w:t xml:space="preserve"> związan</w:t>
      </w:r>
      <w:r w:rsidR="002A0695" w:rsidRPr="000F7360">
        <w:rPr>
          <w:rFonts w:ascii="Times New Roman" w:hAnsi="Times New Roman" w:cs="Times New Roman"/>
          <w:szCs w:val="18"/>
        </w:rPr>
        <w:t>ej</w:t>
      </w:r>
      <w:r w:rsidRPr="000F7360">
        <w:rPr>
          <w:rFonts w:ascii="Times New Roman" w:hAnsi="Times New Roman" w:cs="Times New Roman"/>
          <w:szCs w:val="18"/>
        </w:rPr>
        <w:t xml:space="preserve"> z odwołaniami od decyzji</w:t>
      </w:r>
      <w:r w:rsidR="00321DAC" w:rsidRPr="000F7360">
        <w:rPr>
          <w:rFonts w:ascii="Times New Roman" w:hAnsi="Times New Roman" w:cs="Times New Roman"/>
          <w:szCs w:val="18"/>
        </w:rPr>
        <w:t>.</w:t>
      </w:r>
    </w:p>
    <w:p w14:paraId="159AE5A2" w14:textId="01E8937F" w:rsidR="00B62CBC" w:rsidRPr="000F7360" w:rsidRDefault="006D1AA1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Archiwizacja </w:t>
      </w:r>
      <w:r w:rsidR="00FB0079" w:rsidRPr="000F7360">
        <w:rPr>
          <w:rFonts w:ascii="Times New Roman" w:hAnsi="Times New Roman" w:cs="Times New Roman"/>
          <w:szCs w:val="18"/>
        </w:rPr>
        <w:t>dokumentacji</w:t>
      </w:r>
      <w:r w:rsidR="0091525A" w:rsidRPr="000F7360">
        <w:rPr>
          <w:rFonts w:ascii="Times New Roman" w:hAnsi="Times New Roman" w:cs="Times New Roman"/>
          <w:szCs w:val="18"/>
        </w:rPr>
        <w:t xml:space="preserve"> odnośnie postępowania odwoławczego</w:t>
      </w:r>
      <w:r w:rsidR="00D1613F">
        <w:rPr>
          <w:rFonts w:ascii="Times New Roman" w:hAnsi="Times New Roman" w:cs="Times New Roman"/>
          <w:szCs w:val="18"/>
        </w:rPr>
        <w:t>.</w:t>
      </w:r>
    </w:p>
    <w:p w14:paraId="72684134" w14:textId="77777777" w:rsidR="00897F7B" w:rsidRPr="000F7360" w:rsidRDefault="00897F7B" w:rsidP="000F7360">
      <w:pPr>
        <w:pStyle w:val="Default"/>
        <w:spacing w:line="276" w:lineRule="auto"/>
        <w:ind w:left="425" w:hanging="425"/>
        <w:jc w:val="both"/>
        <w:rPr>
          <w:rFonts w:ascii="Times New Roman" w:hAnsi="Times New Roman" w:cs="Times New Roman"/>
          <w:sz w:val="36"/>
        </w:rPr>
      </w:pPr>
    </w:p>
    <w:sectPr w:rsidR="00897F7B" w:rsidRPr="000F7360" w:rsidSect="005D7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A67AF" w14:textId="77777777" w:rsidR="00062C71" w:rsidRDefault="00062C71" w:rsidP="00F568BF">
      <w:pPr>
        <w:spacing w:after="0" w:line="240" w:lineRule="auto"/>
      </w:pPr>
      <w:r>
        <w:separator/>
      </w:r>
    </w:p>
  </w:endnote>
  <w:endnote w:type="continuationSeparator" w:id="0">
    <w:p w14:paraId="5BF1D44D" w14:textId="77777777" w:rsidR="00062C71" w:rsidRDefault="00062C71" w:rsidP="00F5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65C6" w14:textId="77777777" w:rsidR="006217ED" w:rsidRDefault="006217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16"/>
        <w:szCs w:val="16"/>
      </w:rPr>
      <w:id w:val="-1195684294"/>
      <w:docPartObj>
        <w:docPartGallery w:val="Page Numbers (Bottom of Page)"/>
        <w:docPartUnique/>
      </w:docPartObj>
    </w:sdtPr>
    <w:sdtEndPr/>
    <w:sdtContent>
      <w:p w14:paraId="377F46F0" w14:textId="2972A353" w:rsidR="006217ED" w:rsidRPr="006217ED" w:rsidRDefault="006217ED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6217ED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6217ED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6217ED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6217ED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DE28B7" w:rsidRPr="00DE28B7">
          <w:rPr>
            <w:rFonts w:ascii="Times New Roman" w:eastAsiaTheme="majorEastAsia" w:hAnsi="Times New Roman" w:cs="Times New Roman"/>
            <w:noProof/>
            <w:sz w:val="16"/>
            <w:szCs w:val="16"/>
          </w:rPr>
          <w:t>2</w:t>
        </w:r>
        <w:r w:rsidRPr="006217ED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0BE8C27D" w14:textId="77777777" w:rsidR="006217ED" w:rsidRPr="006217ED" w:rsidRDefault="006217ED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1AB0" w14:textId="77777777" w:rsidR="006217ED" w:rsidRDefault="00621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DE80A" w14:textId="77777777" w:rsidR="00062C71" w:rsidRDefault="00062C71" w:rsidP="00F568BF">
      <w:pPr>
        <w:spacing w:after="0" w:line="240" w:lineRule="auto"/>
      </w:pPr>
      <w:r>
        <w:separator/>
      </w:r>
    </w:p>
  </w:footnote>
  <w:footnote w:type="continuationSeparator" w:id="0">
    <w:p w14:paraId="04CA4723" w14:textId="77777777" w:rsidR="00062C71" w:rsidRDefault="00062C71" w:rsidP="00F5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05346" w14:textId="77777777" w:rsidR="006217ED" w:rsidRDefault="006217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E153A" w14:textId="01E675DD" w:rsidR="00876FA7" w:rsidRPr="008E40B7" w:rsidRDefault="005D79EB" w:rsidP="008E40B7">
    <w:pPr>
      <w:autoSpaceDE w:val="0"/>
      <w:autoSpaceDN w:val="0"/>
      <w:adjustRightInd w:val="0"/>
      <w:spacing w:after="0" w:line="276" w:lineRule="auto"/>
      <w:jc w:val="right"/>
      <w:rPr>
        <w:rFonts w:ascii="Verdana" w:hAnsi="Verdana"/>
        <w:sz w:val="14"/>
        <w:szCs w:val="16"/>
      </w:rPr>
    </w:pPr>
    <w:r w:rsidRPr="005D79EB">
      <w:rPr>
        <w:rFonts w:ascii="Verdana" w:hAnsi="Verdana"/>
        <w:noProof/>
        <w:sz w:val="14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EF4351B" wp14:editId="09A6253A">
          <wp:simplePos x="0" y="0"/>
          <wp:positionH relativeFrom="column">
            <wp:posOffset>-902010</wp:posOffset>
          </wp:positionH>
          <wp:positionV relativeFrom="paragraph">
            <wp:posOffset>-438947</wp:posOffset>
          </wp:positionV>
          <wp:extent cx="7555614" cy="1796902"/>
          <wp:effectExtent l="19050" t="0" r="6601" b="0"/>
          <wp:wrapNone/>
          <wp:docPr id="1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49" cy="1796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6FA7" w:rsidRPr="000F7360">
      <w:rPr>
        <w:rFonts w:ascii="Times New Roman" w:hAnsi="Times New Roman" w:cs="Times New Roman"/>
        <w:sz w:val="18"/>
        <w:szCs w:val="16"/>
      </w:rPr>
      <w:t>Załącznik nr 2</w:t>
    </w:r>
    <w:r w:rsidR="00876FA7" w:rsidRPr="000F7360">
      <w:rPr>
        <w:rFonts w:ascii="Times New Roman" w:hAnsi="Times New Roman" w:cs="Times New Roman"/>
        <w:sz w:val="18"/>
        <w:szCs w:val="16"/>
      </w:rPr>
      <w:br/>
      <w:t xml:space="preserve"> do </w:t>
    </w:r>
    <w:r w:rsidR="00876FA7" w:rsidRPr="000F7360">
      <w:rPr>
        <w:rFonts w:ascii="Times New Roman" w:hAnsi="Times New Roman" w:cs="Times New Roman"/>
        <w:bCs/>
        <w:sz w:val="18"/>
        <w:szCs w:val="16"/>
      </w:rPr>
      <w:t>Regulamin Komisji Rekrutacyjnych w Akademii Sztuk Pięknych w Gdańsku</w:t>
    </w:r>
  </w:p>
  <w:p w14:paraId="665145C2" w14:textId="77777777" w:rsidR="00F568BF" w:rsidRDefault="00F568BF" w:rsidP="00F568BF">
    <w:pPr>
      <w:pStyle w:val="Default"/>
      <w:spacing w:line="276" w:lineRule="auto"/>
      <w:ind w:left="4248" w:firstLine="708"/>
      <w:jc w:val="center"/>
      <w:rPr>
        <w:sz w:val="16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6A2DA" w14:textId="77777777" w:rsidR="006217ED" w:rsidRDefault="006217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25D"/>
    <w:multiLevelType w:val="hybridMultilevel"/>
    <w:tmpl w:val="3B744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741E"/>
    <w:multiLevelType w:val="hybridMultilevel"/>
    <w:tmpl w:val="E8C20E9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A03F21"/>
    <w:multiLevelType w:val="hybridMultilevel"/>
    <w:tmpl w:val="50AC5F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EEB5EC2"/>
    <w:multiLevelType w:val="hybridMultilevel"/>
    <w:tmpl w:val="0CEAB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27AC"/>
    <w:multiLevelType w:val="hybridMultilevel"/>
    <w:tmpl w:val="6F5A2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553EF"/>
    <w:multiLevelType w:val="hybridMultilevel"/>
    <w:tmpl w:val="A204F4B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C31F8A"/>
    <w:multiLevelType w:val="hybridMultilevel"/>
    <w:tmpl w:val="0354E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6AC39A">
      <w:numFmt w:val="bullet"/>
      <w:lvlText w:val=""/>
      <w:lvlJc w:val="left"/>
      <w:pPr>
        <w:ind w:left="2340" w:hanging="360"/>
      </w:pPr>
      <w:rPr>
        <w:rFonts w:ascii="Symbol" w:eastAsiaTheme="minorEastAsia" w:hAnsi="Symbol" w:cs="Verdan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6481B"/>
    <w:multiLevelType w:val="hybridMultilevel"/>
    <w:tmpl w:val="618CD2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7C81048"/>
    <w:multiLevelType w:val="hybridMultilevel"/>
    <w:tmpl w:val="C06ECDD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B77684E"/>
    <w:multiLevelType w:val="hybridMultilevel"/>
    <w:tmpl w:val="7B5E2FB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735598D"/>
    <w:multiLevelType w:val="hybridMultilevel"/>
    <w:tmpl w:val="CFBC19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062AF4"/>
    <w:multiLevelType w:val="hybridMultilevel"/>
    <w:tmpl w:val="9D0675BE"/>
    <w:lvl w:ilvl="0" w:tplc="92B24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C3CEF"/>
    <w:multiLevelType w:val="hybridMultilevel"/>
    <w:tmpl w:val="89E6E55C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5E623280"/>
    <w:multiLevelType w:val="hybridMultilevel"/>
    <w:tmpl w:val="462C622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6C8328B8"/>
    <w:multiLevelType w:val="hybridMultilevel"/>
    <w:tmpl w:val="8828F6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DF50B6"/>
    <w:multiLevelType w:val="hybridMultilevel"/>
    <w:tmpl w:val="387A12DE"/>
    <w:lvl w:ilvl="0" w:tplc="272417C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71BD"/>
    <w:multiLevelType w:val="hybridMultilevel"/>
    <w:tmpl w:val="416AE2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C71644"/>
    <w:multiLevelType w:val="hybridMultilevel"/>
    <w:tmpl w:val="863874D4"/>
    <w:lvl w:ilvl="0" w:tplc="8B7EC0B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4"/>
  </w:num>
  <w:num w:numId="5">
    <w:abstractNumId w:val="17"/>
  </w:num>
  <w:num w:numId="6">
    <w:abstractNumId w:val="13"/>
  </w:num>
  <w:num w:numId="7">
    <w:abstractNumId w:val="8"/>
  </w:num>
  <w:num w:numId="8">
    <w:abstractNumId w:val="12"/>
  </w:num>
  <w:num w:numId="9">
    <w:abstractNumId w:val="1"/>
  </w:num>
  <w:num w:numId="10">
    <w:abstractNumId w:val="2"/>
  </w:num>
  <w:num w:numId="11">
    <w:abstractNumId w:val="15"/>
  </w:num>
  <w:num w:numId="12">
    <w:abstractNumId w:val="5"/>
  </w:num>
  <w:num w:numId="13">
    <w:abstractNumId w:val="16"/>
  </w:num>
  <w:num w:numId="14">
    <w:abstractNumId w:val="11"/>
  </w:num>
  <w:num w:numId="15">
    <w:abstractNumId w:val="6"/>
  </w:num>
  <w:num w:numId="16">
    <w:abstractNumId w:val="3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BF"/>
    <w:rsid w:val="00001BB1"/>
    <w:rsid w:val="000437A2"/>
    <w:rsid w:val="00062C71"/>
    <w:rsid w:val="000847CE"/>
    <w:rsid w:val="000C2CF9"/>
    <w:rsid w:val="000F3AC4"/>
    <w:rsid w:val="000F7360"/>
    <w:rsid w:val="00102318"/>
    <w:rsid w:val="00132CCD"/>
    <w:rsid w:val="00174205"/>
    <w:rsid w:val="00174B0C"/>
    <w:rsid w:val="00184134"/>
    <w:rsid w:val="00187A26"/>
    <w:rsid w:val="001C7971"/>
    <w:rsid w:val="001F4DC8"/>
    <w:rsid w:val="0022023A"/>
    <w:rsid w:val="00253A33"/>
    <w:rsid w:val="0025775A"/>
    <w:rsid w:val="002A0695"/>
    <w:rsid w:val="002D0879"/>
    <w:rsid w:val="002D492F"/>
    <w:rsid w:val="00321DAC"/>
    <w:rsid w:val="00333A8B"/>
    <w:rsid w:val="003644D8"/>
    <w:rsid w:val="00417C98"/>
    <w:rsid w:val="004261BB"/>
    <w:rsid w:val="00465785"/>
    <w:rsid w:val="00496AE9"/>
    <w:rsid w:val="004A2F36"/>
    <w:rsid w:val="004B73CD"/>
    <w:rsid w:val="005928FB"/>
    <w:rsid w:val="005A5B59"/>
    <w:rsid w:val="005B6741"/>
    <w:rsid w:val="005B7A04"/>
    <w:rsid w:val="005D79EB"/>
    <w:rsid w:val="005F3343"/>
    <w:rsid w:val="006046C4"/>
    <w:rsid w:val="006213D1"/>
    <w:rsid w:val="006217ED"/>
    <w:rsid w:val="00625054"/>
    <w:rsid w:val="00633D3C"/>
    <w:rsid w:val="00644A8A"/>
    <w:rsid w:val="00652C30"/>
    <w:rsid w:val="00693782"/>
    <w:rsid w:val="00695336"/>
    <w:rsid w:val="006C7F69"/>
    <w:rsid w:val="006D1AA1"/>
    <w:rsid w:val="006E3ACF"/>
    <w:rsid w:val="007D3FA4"/>
    <w:rsid w:val="00812336"/>
    <w:rsid w:val="008155B7"/>
    <w:rsid w:val="00876FA7"/>
    <w:rsid w:val="00897F7B"/>
    <w:rsid w:val="008B6EB2"/>
    <w:rsid w:val="008D4637"/>
    <w:rsid w:val="008E40B7"/>
    <w:rsid w:val="008E79B2"/>
    <w:rsid w:val="008F5DDE"/>
    <w:rsid w:val="0091525A"/>
    <w:rsid w:val="00922576"/>
    <w:rsid w:val="009359B1"/>
    <w:rsid w:val="009818A5"/>
    <w:rsid w:val="00A07196"/>
    <w:rsid w:val="00A225DC"/>
    <w:rsid w:val="00A67B9E"/>
    <w:rsid w:val="00A85D9A"/>
    <w:rsid w:val="00A87F07"/>
    <w:rsid w:val="00AD5C0B"/>
    <w:rsid w:val="00AE3C7C"/>
    <w:rsid w:val="00B05093"/>
    <w:rsid w:val="00B073BC"/>
    <w:rsid w:val="00B303A4"/>
    <w:rsid w:val="00B36C3F"/>
    <w:rsid w:val="00B45F40"/>
    <w:rsid w:val="00B62CBC"/>
    <w:rsid w:val="00BD384A"/>
    <w:rsid w:val="00C55236"/>
    <w:rsid w:val="00CD4C4E"/>
    <w:rsid w:val="00CF4ABB"/>
    <w:rsid w:val="00CF7102"/>
    <w:rsid w:val="00D05269"/>
    <w:rsid w:val="00D1613F"/>
    <w:rsid w:val="00DB2781"/>
    <w:rsid w:val="00DD0CFD"/>
    <w:rsid w:val="00DE28B7"/>
    <w:rsid w:val="00DF5ABB"/>
    <w:rsid w:val="00E37625"/>
    <w:rsid w:val="00E55A72"/>
    <w:rsid w:val="00E66668"/>
    <w:rsid w:val="00E851F2"/>
    <w:rsid w:val="00ED6BE8"/>
    <w:rsid w:val="00EF2AEE"/>
    <w:rsid w:val="00F24ACA"/>
    <w:rsid w:val="00F568BF"/>
    <w:rsid w:val="00F64A8D"/>
    <w:rsid w:val="00FB0079"/>
    <w:rsid w:val="00FC4620"/>
    <w:rsid w:val="00FD486A"/>
    <w:rsid w:val="00FE3F78"/>
    <w:rsid w:val="00FF481C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9749"/>
  <w15:docId w15:val="{E8792F43-ED1E-4CD3-BF96-D829C89D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B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BF"/>
  </w:style>
  <w:style w:type="paragraph" w:styleId="Stopka">
    <w:name w:val="footer"/>
    <w:basedOn w:val="Normalny"/>
    <w:link w:val="Stopka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BF"/>
  </w:style>
  <w:style w:type="paragraph" w:styleId="Akapitzlist">
    <w:name w:val="List Paragraph"/>
    <w:basedOn w:val="Normalny"/>
    <w:uiPriority w:val="34"/>
    <w:qFormat/>
    <w:rsid w:val="008155B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B7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B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B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92F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92F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686B-6731-4EF0-B925-A8879F18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Asp</cp:lastModifiedBy>
  <cp:revision>2</cp:revision>
  <cp:lastPrinted>2016-04-04T07:56:00Z</cp:lastPrinted>
  <dcterms:created xsi:type="dcterms:W3CDTF">2024-01-03T12:17:00Z</dcterms:created>
  <dcterms:modified xsi:type="dcterms:W3CDTF">2024-01-03T12:17:00Z</dcterms:modified>
</cp:coreProperties>
</file>